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0A0B" w14:textId="77777777" w:rsidR="005F3846" w:rsidRPr="00826A9D" w:rsidRDefault="005F3846" w:rsidP="005F3846">
      <w:pPr>
        <w:spacing w:after="0" w:line="240" w:lineRule="auto"/>
        <w:jc w:val="center"/>
        <w:rPr>
          <w:rFonts w:ascii="Arial" w:hAnsi="Arial" w:cs="Arial"/>
          <w:b/>
          <w:bCs/>
          <w:sz w:val="36"/>
          <w:szCs w:val="36"/>
        </w:rPr>
      </w:pPr>
      <w:bookmarkStart w:id="0" w:name="_Hlk71590495"/>
    </w:p>
    <w:p w14:paraId="494429DF" w14:textId="77777777" w:rsidR="005F3846" w:rsidRPr="00826A9D" w:rsidRDefault="005F3846" w:rsidP="005F3846">
      <w:pPr>
        <w:spacing w:after="0" w:line="240" w:lineRule="auto"/>
        <w:jc w:val="center"/>
        <w:rPr>
          <w:rFonts w:ascii="Arial" w:hAnsi="Arial" w:cs="Arial"/>
          <w:b/>
          <w:bCs/>
          <w:sz w:val="36"/>
          <w:szCs w:val="36"/>
        </w:rPr>
      </w:pPr>
    </w:p>
    <w:p w14:paraId="48E3219C" w14:textId="77777777" w:rsidR="005F3846" w:rsidRPr="00826A9D" w:rsidRDefault="005F3846" w:rsidP="005F3846">
      <w:pPr>
        <w:spacing w:after="0" w:line="240" w:lineRule="auto"/>
        <w:jc w:val="center"/>
        <w:rPr>
          <w:rFonts w:ascii="Arial" w:hAnsi="Arial" w:cs="Arial"/>
          <w:b/>
          <w:bCs/>
          <w:sz w:val="36"/>
          <w:szCs w:val="36"/>
        </w:rPr>
      </w:pPr>
    </w:p>
    <w:p w14:paraId="0496141D" w14:textId="77777777" w:rsidR="009646A4" w:rsidRPr="00826A9D" w:rsidRDefault="009646A4" w:rsidP="005F3846">
      <w:pPr>
        <w:spacing w:after="0" w:line="240" w:lineRule="auto"/>
        <w:jc w:val="center"/>
        <w:rPr>
          <w:rFonts w:ascii="Arial" w:hAnsi="Arial" w:cs="Arial"/>
          <w:b/>
          <w:bCs/>
          <w:sz w:val="36"/>
          <w:szCs w:val="36"/>
        </w:rPr>
      </w:pPr>
    </w:p>
    <w:p w14:paraId="21C9BE6E" w14:textId="77777777" w:rsidR="00415565" w:rsidRPr="00826A9D" w:rsidRDefault="00415565" w:rsidP="005F3846">
      <w:pPr>
        <w:spacing w:after="0" w:line="240" w:lineRule="auto"/>
        <w:jc w:val="center"/>
        <w:rPr>
          <w:rFonts w:ascii="Arial" w:hAnsi="Arial" w:cs="Arial"/>
          <w:b/>
          <w:bCs/>
          <w:sz w:val="36"/>
          <w:szCs w:val="36"/>
        </w:rPr>
      </w:pPr>
    </w:p>
    <w:p w14:paraId="38BE4C2F" w14:textId="2C966C69" w:rsidR="005F3846" w:rsidRPr="00826A9D" w:rsidRDefault="009646A4" w:rsidP="005F3846">
      <w:pPr>
        <w:spacing w:after="0" w:line="240" w:lineRule="auto"/>
        <w:jc w:val="center"/>
        <w:rPr>
          <w:rFonts w:ascii="Arial" w:hAnsi="Arial" w:cs="Arial"/>
          <w:b/>
          <w:bCs/>
          <w:i/>
          <w:iCs/>
          <w:sz w:val="36"/>
          <w:szCs w:val="36"/>
        </w:rPr>
      </w:pPr>
      <w:r w:rsidRPr="00826A9D">
        <w:rPr>
          <w:rFonts w:ascii="Arial" w:hAnsi="Arial" w:cs="Arial"/>
          <w:b/>
          <w:bCs/>
          <w:sz w:val="36"/>
          <w:szCs w:val="36"/>
        </w:rPr>
        <w:t>R</w:t>
      </w:r>
      <w:r w:rsidR="005F3846" w:rsidRPr="00826A9D">
        <w:rPr>
          <w:rFonts w:ascii="Arial" w:hAnsi="Arial" w:cs="Arial"/>
          <w:b/>
          <w:bCs/>
          <w:sz w:val="36"/>
          <w:szCs w:val="36"/>
        </w:rPr>
        <w:t xml:space="preserve">esponse to the </w:t>
      </w:r>
      <w:r w:rsidRPr="00826A9D">
        <w:rPr>
          <w:rFonts w:ascii="Arial" w:hAnsi="Arial" w:cs="Arial"/>
          <w:b/>
          <w:bCs/>
          <w:sz w:val="36"/>
          <w:szCs w:val="36"/>
        </w:rPr>
        <w:t xml:space="preserve">Department of Social Services </w:t>
      </w:r>
      <w:bookmarkStart w:id="1" w:name="_Hlk71648621"/>
      <w:bookmarkStart w:id="2" w:name="_Hlk71663607"/>
      <w:r w:rsidR="005F3846" w:rsidRPr="00826A9D">
        <w:rPr>
          <w:rFonts w:ascii="Arial" w:hAnsi="Arial" w:cs="Arial"/>
          <w:b/>
          <w:bCs/>
          <w:i/>
          <w:iCs/>
          <w:sz w:val="36"/>
          <w:szCs w:val="36"/>
        </w:rPr>
        <w:t xml:space="preserve">National Disability Employment Strategy Consultation </w:t>
      </w:r>
      <w:r w:rsidRPr="00826A9D">
        <w:rPr>
          <w:rFonts w:ascii="Arial" w:hAnsi="Arial" w:cs="Arial"/>
          <w:b/>
          <w:bCs/>
          <w:i/>
          <w:iCs/>
          <w:sz w:val="36"/>
          <w:szCs w:val="36"/>
        </w:rPr>
        <w:t>P</w:t>
      </w:r>
      <w:r w:rsidR="005F3846" w:rsidRPr="00826A9D">
        <w:rPr>
          <w:rFonts w:ascii="Arial" w:hAnsi="Arial" w:cs="Arial"/>
          <w:b/>
          <w:bCs/>
          <w:i/>
          <w:iCs/>
          <w:sz w:val="36"/>
          <w:szCs w:val="36"/>
        </w:rPr>
        <w:t xml:space="preserve">aper </w:t>
      </w:r>
      <w:bookmarkEnd w:id="1"/>
      <w:r w:rsidR="005F3846" w:rsidRPr="00826A9D">
        <w:rPr>
          <w:rFonts w:ascii="Arial" w:hAnsi="Arial" w:cs="Arial"/>
          <w:b/>
          <w:bCs/>
          <w:i/>
          <w:iCs/>
          <w:sz w:val="36"/>
          <w:szCs w:val="36"/>
        </w:rPr>
        <w:t>April 2021</w:t>
      </w:r>
      <w:bookmarkEnd w:id="2"/>
    </w:p>
    <w:p w14:paraId="777D7838" w14:textId="77777777" w:rsidR="005F3846" w:rsidRPr="00826A9D" w:rsidRDefault="005F3846" w:rsidP="005F3846">
      <w:pPr>
        <w:spacing w:after="0" w:line="240" w:lineRule="auto"/>
        <w:jc w:val="center"/>
        <w:rPr>
          <w:rFonts w:ascii="Arial" w:hAnsi="Arial" w:cs="Arial"/>
          <w:b/>
          <w:bCs/>
          <w:sz w:val="36"/>
          <w:szCs w:val="36"/>
        </w:rPr>
      </w:pPr>
    </w:p>
    <w:p w14:paraId="56787218" w14:textId="700E727F" w:rsidR="005F3846" w:rsidRPr="00826A9D" w:rsidRDefault="005F3846" w:rsidP="005F3846">
      <w:pPr>
        <w:spacing w:after="0" w:line="240" w:lineRule="auto"/>
        <w:jc w:val="center"/>
        <w:rPr>
          <w:rFonts w:ascii="Arial" w:hAnsi="Arial" w:cs="Arial"/>
          <w:b/>
          <w:bCs/>
          <w:sz w:val="36"/>
          <w:szCs w:val="36"/>
        </w:rPr>
      </w:pPr>
      <w:r w:rsidRPr="00AD17AA">
        <w:rPr>
          <w:rFonts w:ascii="Arial" w:hAnsi="Arial" w:cs="Arial"/>
          <w:b/>
          <w:bCs/>
          <w:sz w:val="36"/>
          <w:szCs w:val="36"/>
        </w:rPr>
        <w:t>1</w:t>
      </w:r>
      <w:r w:rsidR="00B3318C">
        <w:rPr>
          <w:rFonts w:ascii="Arial" w:hAnsi="Arial" w:cs="Arial"/>
          <w:b/>
          <w:bCs/>
          <w:sz w:val="36"/>
          <w:szCs w:val="36"/>
        </w:rPr>
        <w:t>4</w:t>
      </w:r>
      <w:r w:rsidRPr="00AD17AA">
        <w:rPr>
          <w:rFonts w:ascii="Arial" w:hAnsi="Arial" w:cs="Arial"/>
          <w:b/>
          <w:bCs/>
          <w:sz w:val="36"/>
          <w:szCs w:val="36"/>
        </w:rPr>
        <w:t xml:space="preserve"> May 2021</w:t>
      </w:r>
    </w:p>
    <w:p w14:paraId="65BDF4D5" w14:textId="56251F43" w:rsidR="005F3846" w:rsidRPr="00826A9D" w:rsidRDefault="005F3846" w:rsidP="005F3846">
      <w:pPr>
        <w:spacing w:after="0" w:line="240" w:lineRule="auto"/>
        <w:jc w:val="center"/>
        <w:rPr>
          <w:rFonts w:ascii="Arial" w:hAnsi="Arial" w:cs="Arial"/>
          <w:b/>
          <w:bCs/>
          <w:sz w:val="36"/>
          <w:szCs w:val="36"/>
        </w:rPr>
      </w:pPr>
    </w:p>
    <w:p w14:paraId="692D242E" w14:textId="77777777" w:rsidR="000B649F" w:rsidRPr="00826A9D" w:rsidRDefault="000B649F" w:rsidP="005F3846">
      <w:pPr>
        <w:spacing w:after="0" w:line="240" w:lineRule="auto"/>
        <w:jc w:val="center"/>
        <w:rPr>
          <w:rFonts w:ascii="Arial" w:hAnsi="Arial" w:cs="Arial"/>
          <w:b/>
          <w:bCs/>
          <w:sz w:val="36"/>
          <w:szCs w:val="36"/>
        </w:rPr>
      </w:pPr>
    </w:p>
    <w:p w14:paraId="436681B8" w14:textId="16A069FD" w:rsidR="005F3846" w:rsidRPr="00826A9D" w:rsidRDefault="005F3846" w:rsidP="005F3846">
      <w:pPr>
        <w:spacing w:after="0" w:line="240" w:lineRule="auto"/>
        <w:jc w:val="center"/>
        <w:rPr>
          <w:rFonts w:ascii="Arial" w:hAnsi="Arial" w:cs="Arial"/>
          <w:b/>
          <w:bCs/>
          <w:sz w:val="36"/>
          <w:szCs w:val="36"/>
        </w:rPr>
      </w:pPr>
    </w:p>
    <w:p w14:paraId="230ED199" w14:textId="77777777" w:rsidR="0040324B" w:rsidRPr="00826A9D" w:rsidRDefault="0040324B" w:rsidP="005F3846">
      <w:pPr>
        <w:spacing w:after="0" w:line="240" w:lineRule="auto"/>
        <w:jc w:val="center"/>
        <w:rPr>
          <w:rFonts w:ascii="Arial" w:hAnsi="Arial" w:cs="Arial"/>
          <w:b/>
          <w:bCs/>
          <w:sz w:val="39"/>
          <w:szCs w:val="39"/>
        </w:rPr>
      </w:pPr>
    </w:p>
    <w:p w14:paraId="4E8B50BA" w14:textId="77777777" w:rsidR="005F3846" w:rsidRPr="00826A9D" w:rsidRDefault="005F3846" w:rsidP="005F3846">
      <w:pPr>
        <w:spacing w:after="0" w:line="240" w:lineRule="auto"/>
        <w:jc w:val="center"/>
        <w:rPr>
          <w:rFonts w:ascii="Arial" w:hAnsi="Arial" w:cs="Arial"/>
          <w:b/>
          <w:bCs/>
          <w:sz w:val="39"/>
          <w:szCs w:val="39"/>
        </w:rPr>
      </w:pPr>
      <w:r w:rsidRPr="00826A9D">
        <w:rPr>
          <w:rFonts w:ascii="Arial" w:hAnsi="Arial" w:cs="Arial"/>
          <w:b/>
          <w:bCs/>
          <w:noProof/>
          <w:sz w:val="39"/>
          <w:szCs w:val="39"/>
        </w:rPr>
        <w:drawing>
          <wp:inline distT="0" distB="0" distL="0" distR="0" wp14:anchorId="70D4F8DA" wp14:editId="355BB89C">
            <wp:extent cx="5731510" cy="2087245"/>
            <wp:effectExtent l="0" t="0" r="2540" b="825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087245"/>
                    </a:xfrm>
                    <a:prstGeom prst="rect">
                      <a:avLst/>
                    </a:prstGeom>
                  </pic:spPr>
                </pic:pic>
              </a:graphicData>
            </a:graphic>
          </wp:inline>
        </w:drawing>
      </w:r>
    </w:p>
    <w:p w14:paraId="51A4C417" w14:textId="77777777" w:rsidR="005F3846" w:rsidRPr="00826A9D" w:rsidRDefault="005F3846" w:rsidP="005F3846">
      <w:pPr>
        <w:tabs>
          <w:tab w:val="left" w:pos="4060"/>
        </w:tabs>
        <w:jc w:val="right"/>
        <w:rPr>
          <w:rFonts w:ascii="Arial" w:hAnsi="Arial" w:cs="Arial"/>
          <w:b/>
          <w:bCs/>
          <w:sz w:val="36"/>
          <w:szCs w:val="36"/>
        </w:rPr>
      </w:pPr>
    </w:p>
    <w:p w14:paraId="39037C00" w14:textId="77777777" w:rsidR="005F3846" w:rsidRPr="00826A9D" w:rsidRDefault="005F3846" w:rsidP="005F3846">
      <w:pPr>
        <w:tabs>
          <w:tab w:val="left" w:pos="4060"/>
        </w:tabs>
        <w:jc w:val="right"/>
        <w:rPr>
          <w:rFonts w:ascii="Arial" w:hAnsi="Arial" w:cs="Arial"/>
          <w:b/>
          <w:bCs/>
          <w:sz w:val="36"/>
          <w:szCs w:val="36"/>
        </w:rPr>
      </w:pPr>
    </w:p>
    <w:p w14:paraId="571BE083" w14:textId="77777777" w:rsidR="001366D9" w:rsidRPr="00826A9D" w:rsidRDefault="001366D9" w:rsidP="001366D9">
      <w:pPr>
        <w:spacing w:after="0" w:line="240" w:lineRule="auto"/>
        <w:jc w:val="right"/>
        <w:rPr>
          <w:rFonts w:ascii="Arial" w:hAnsi="Arial" w:cs="Arial"/>
          <w:sz w:val="36"/>
          <w:szCs w:val="36"/>
        </w:rPr>
      </w:pPr>
    </w:p>
    <w:p w14:paraId="656B4EB8" w14:textId="77777777" w:rsidR="001366D9" w:rsidRPr="00826A9D" w:rsidRDefault="001366D9" w:rsidP="001366D9">
      <w:pPr>
        <w:spacing w:after="0" w:line="240" w:lineRule="auto"/>
        <w:jc w:val="right"/>
        <w:rPr>
          <w:rFonts w:ascii="Arial" w:hAnsi="Arial" w:cs="Arial"/>
          <w:sz w:val="36"/>
          <w:szCs w:val="36"/>
        </w:rPr>
      </w:pPr>
    </w:p>
    <w:p w14:paraId="099CACBC" w14:textId="77777777" w:rsidR="001366D9" w:rsidRPr="00826A9D" w:rsidRDefault="001366D9" w:rsidP="001366D9">
      <w:pPr>
        <w:spacing w:after="0" w:line="240" w:lineRule="auto"/>
        <w:jc w:val="right"/>
        <w:rPr>
          <w:rFonts w:ascii="Arial" w:hAnsi="Arial" w:cs="Arial"/>
          <w:sz w:val="28"/>
          <w:szCs w:val="28"/>
        </w:rPr>
      </w:pPr>
    </w:p>
    <w:p w14:paraId="41B17644" w14:textId="60B7E36D" w:rsidR="001366D9" w:rsidRPr="00174961" w:rsidRDefault="001366D9" w:rsidP="001366D9">
      <w:pPr>
        <w:spacing w:after="0" w:line="240" w:lineRule="auto"/>
        <w:jc w:val="right"/>
        <w:rPr>
          <w:rFonts w:ascii="Arial" w:hAnsi="Arial" w:cs="Arial"/>
          <w:sz w:val="24"/>
          <w:szCs w:val="24"/>
        </w:rPr>
      </w:pPr>
      <w:r w:rsidRPr="00174961">
        <w:rPr>
          <w:rFonts w:ascii="Arial" w:hAnsi="Arial" w:cs="Arial"/>
          <w:sz w:val="24"/>
          <w:szCs w:val="24"/>
        </w:rPr>
        <w:t>Dr Sue Olney, Research Fellow</w:t>
      </w:r>
    </w:p>
    <w:p w14:paraId="57170878" w14:textId="1D974D62" w:rsidR="001366D9" w:rsidRPr="00174961" w:rsidRDefault="001366D9" w:rsidP="001366D9">
      <w:pPr>
        <w:spacing w:after="0" w:line="240" w:lineRule="auto"/>
        <w:jc w:val="right"/>
        <w:rPr>
          <w:rFonts w:ascii="Arial" w:hAnsi="Arial" w:cs="Arial"/>
          <w:sz w:val="24"/>
          <w:szCs w:val="24"/>
        </w:rPr>
      </w:pPr>
      <w:r w:rsidRPr="00174961">
        <w:rPr>
          <w:rFonts w:ascii="Arial" w:hAnsi="Arial" w:cs="Arial"/>
          <w:sz w:val="24"/>
          <w:szCs w:val="24"/>
        </w:rPr>
        <w:t>Ms Kirsten Deane, General Manager</w:t>
      </w:r>
    </w:p>
    <w:p w14:paraId="29ACC873" w14:textId="0DB047CA" w:rsidR="001366D9" w:rsidRDefault="001366D9" w:rsidP="001366D9">
      <w:pPr>
        <w:spacing w:after="0" w:line="240" w:lineRule="auto"/>
        <w:jc w:val="right"/>
        <w:rPr>
          <w:rFonts w:ascii="Arial" w:hAnsi="Arial" w:cs="Arial"/>
          <w:sz w:val="24"/>
          <w:szCs w:val="24"/>
        </w:rPr>
      </w:pPr>
      <w:r w:rsidRPr="00174961">
        <w:rPr>
          <w:rFonts w:ascii="Arial" w:hAnsi="Arial" w:cs="Arial"/>
          <w:sz w:val="24"/>
          <w:szCs w:val="24"/>
        </w:rPr>
        <w:t>Professor Bruce Bonyhady AM, Executive Chair and Director</w:t>
      </w:r>
    </w:p>
    <w:p w14:paraId="3EBEB77F" w14:textId="75B1D838" w:rsidR="00B82215" w:rsidRPr="00826A9D" w:rsidRDefault="00B82215" w:rsidP="001366D9">
      <w:pPr>
        <w:spacing w:after="0" w:line="240" w:lineRule="auto"/>
        <w:jc w:val="right"/>
        <w:rPr>
          <w:rFonts w:ascii="Arial" w:hAnsi="Arial" w:cs="Arial"/>
          <w:sz w:val="28"/>
          <w:szCs w:val="28"/>
        </w:rPr>
      </w:pPr>
      <w:r>
        <w:rPr>
          <w:rFonts w:ascii="Arial" w:hAnsi="Arial" w:cs="Arial"/>
          <w:sz w:val="24"/>
          <w:szCs w:val="24"/>
        </w:rPr>
        <w:t>Melbourne Disability Institute, University of Melbourne</w:t>
      </w:r>
    </w:p>
    <w:p w14:paraId="55B8D714" w14:textId="77777777" w:rsidR="005F3846" w:rsidRPr="00826A9D" w:rsidRDefault="005F3846" w:rsidP="001366D9">
      <w:pPr>
        <w:tabs>
          <w:tab w:val="left" w:pos="4060"/>
        </w:tabs>
        <w:rPr>
          <w:rFonts w:ascii="Arial" w:hAnsi="Arial" w:cs="Arial"/>
          <w:b/>
          <w:bCs/>
          <w:sz w:val="39"/>
          <w:szCs w:val="39"/>
        </w:rPr>
      </w:pPr>
    </w:p>
    <w:p w14:paraId="77EA4138" w14:textId="0C8E3D0F" w:rsidR="005F3846" w:rsidRPr="00826A9D" w:rsidRDefault="005F3846" w:rsidP="009646A4">
      <w:pPr>
        <w:tabs>
          <w:tab w:val="left" w:pos="4060"/>
          <w:tab w:val="left" w:pos="6458"/>
          <w:tab w:val="right" w:pos="9026"/>
        </w:tabs>
        <w:spacing w:after="0" w:line="240" w:lineRule="auto"/>
        <w:rPr>
          <w:rFonts w:ascii="Arial" w:hAnsi="Arial" w:cs="Arial"/>
          <w:b/>
          <w:bCs/>
          <w:sz w:val="39"/>
          <w:szCs w:val="39"/>
        </w:rPr>
      </w:pPr>
      <w:r w:rsidRPr="00826A9D">
        <w:rPr>
          <w:rFonts w:ascii="Arial" w:hAnsi="Arial" w:cs="Arial"/>
          <w:b/>
          <w:bCs/>
          <w:sz w:val="39"/>
          <w:szCs w:val="39"/>
        </w:rPr>
        <w:tab/>
      </w:r>
      <w:r w:rsidRPr="00826A9D">
        <w:rPr>
          <w:rFonts w:ascii="Arial" w:hAnsi="Arial" w:cs="Arial"/>
          <w:b/>
          <w:bCs/>
          <w:sz w:val="39"/>
          <w:szCs w:val="39"/>
        </w:rPr>
        <w:tab/>
      </w:r>
      <w:r w:rsidRPr="00826A9D">
        <w:rPr>
          <w:rFonts w:ascii="Arial" w:hAnsi="Arial" w:cs="Arial"/>
          <w:b/>
          <w:bCs/>
          <w:sz w:val="39"/>
          <w:szCs w:val="39"/>
        </w:rPr>
        <w:tab/>
        <w:t xml:space="preserve"> </w:t>
      </w:r>
    </w:p>
    <w:p w14:paraId="5F49FD43" w14:textId="77777777" w:rsidR="005F3846" w:rsidRPr="00826A9D" w:rsidRDefault="005F3846">
      <w:pPr>
        <w:rPr>
          <w:rFonts w:ascii="Arial" w:hAnsi="Arial" w:cs="Arial"/>
          <w:color w:val="000000"/>
          <w:sz w:val="20"/>
          <w:szCs w:val="20"/>
          <w:highlight w:val="yellow"/>
        </w:rPr>
      </w:pPr>
      <w:r w:rsidRPr="00826A9D">
        <w:rPr>
          <w:sz w:val="20"/>
          <w:szCs w:val="20"/>
          <w:highlight w:val="yellow"/>
        </w:rPr>
        <w:br w:type="page"/>
      </w:r>
    </w:p>
    <w:bookmarkEnd w:id="0"/>
    <w:p w14:paraId="6FE96AC6" w14:textId="68B221D7" w:rsidR="003D5E1D" w:rsidRPr="00826A9D" w:rsidRDefault="003D5E1D" w:rsidP="008D1041">
      <w:pPr>
        <w:spacing w:after="0" w:line="240" w:lineRule="auto"/>
        <w:rPr>
          <w:rFonts w:ascii="Arial" w:hAnsi="Arial" w:cs="Arial"/>
          <w:b/>
          <w:bCs/>
          <w:sz w:val="20"/>
          <w:szCs w:val="20"/>
        </w:rPr>
      </w:pPr>
    </w:p>
    <w:p w14:paraId="14C93550" w14:textId="77777777" w:rsidR="003D5E1D" w:rsidRPr="00826A9D" w:rsidRDefault="003D5E1D" w:rsidP="008D1041">
      <w:pPr>
        <w:spacing w:after="0" w:line="240" w:lineRule="auto"/>
        <w:rPr>
          <w:rFonts w:ascii="Arial" w:hAnsi="Arial" w:cs="Arial"/>
          <w:b/>
          <w:bCs/>
          <w:sz w:val="20"/>
          <w:szCs w:val="20"/>
        </w:rPr>
      </w:pPr>
    </w:p>
    <w:p w14:paraId="77DB29B2" w14:textId="155EA9A1" w:rsidR="008D1041" w:rsidRPr="00081FD3" w:rsidRDefault="008D1041" w:rsidP="00081FD3">
      <w:pPr>
        <w:rPr>
          <w:rFonts w:ascii="Arial" w:hAnsi="Arial" w:cs="Arial"/>
          <w:color w:val="2F5496" w:themeColor="accent1" w:themeShade="BF"/>
          <w:sz w:val="20"/>
          <w:szCs w:val="20"/>
        </w:rPr>
      </w:pPr>
      <w:r w:rsidRPr="00081FD3">
        <w:rPr>
          <w:rFonts w:ascii="Arial" w:hAnsi="Arial" w:cs="Arial"/>
          <w:color w:val="2F5496" w:themeColor="accent1" w:themeShade="BF"/>
          <w:sz w:val="20"/>
          <w:szCs w:val="20"/>
        </w:rPr>
        <w:t>Suggested citation</w:t>
      </w:r>
    </w:p>
    <w:p w14:paraId="5F0FD4F8" w14:textId="53C442C7"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Olney S, Deane K &amp; Bonyhady B (2021) </w:t>
      </w:r>
      <w:r w:rsidRPr="00826A9D">
        <w:rPr>
          <w:rFonts w:ascii="Arial" w:hAnsi="Arial" w:cs="Arial"/>
          <w:i/>
          <w:iCs/>
          <w:sz w:val="20"/>
          <w:szCs w:val="20"/>
        </w:rPr>
        <w:t>Melbourne Disability Institute</w:t>
      </w:r>
      <w:r w:rsidRPr="00826A9D">
        <w:rPr>
          <w:rFonts w:ascii="Arial" w:hAnsi="Arial" w:cs="Arial"/>
          <w:sz w:val="20"/>
          <w:szCs w:val="20"/>
        </w:rPr>
        <w:t xml:space="preserve"> </w:t>
      </w:r>
      <w:r w:rsidRPr="00826A9D">
        <w:rPr>
          <w:rFonts w:ascii="Arial" w:hAnsi="Arial" w:cs="Arial"/>
          <w:i/>
          <w:iCs/>
          <w:sz w:val="20"/>
          <w:szCs w:val="20"/>
        </w:rPr>
        <w:t>Response to the National Disability Employment Strategy Consultation paper April 2021</w:t>
      </w:r>
      <w:r w:rsidRPr="00826A9D">
        <w:rPr>
          <w:rFonts w:ascii="Arial" w:hAnsi="Arial" w:cs="Arial"/>
          <w:sz w:val="20"/>
          <w:szCs w:val="20"/>
        </w:rPr>
        <w:t xml:space="preserve"> Melbourne Disability Institute, University of Melbourne </w:t>
      </w:r>
    </w:p>
    <w:p w14:paraId="6B85020A" w14:textId="77777777" w:rsidR="008D1041" w:rsidRPr="00826A9D" w:rsidRDefault="008D1041" w:rsidP="008D1041">
      <w:pPr>
        <w:spacing w:after="0" w:line="240" w:lineRule="auto"/>
        <w:rPr>
          <w:rFonts w:ascii="Arial" w:hAnsi="Arial" w:cs="Arial"/>
          <w:sz w:val="20"/>
          <w:szCs w:val="20"/>
        </w:rPr>
      </w:pPr>
    </w:p>
    <w:p w14:paraId="7263DA4D" w14:textId="2242D567" w:rsidR="008D1041" w:rsidRPr="00081FD3" w:rsidRDefault="008D1041" w:rsidP="00081FD3">
      <w:pPr>
        <w:rPr>
          <w:rFonts w:ascii="Arial" w:hAnsi="Arial" w:cs="Arial"/>
          <w:color w:val="2F5496" w:themeColor="accent1" w:themeShade="BF"/>
          <w:sz w:val="20"/>
          <w:szCs w:val="20"/>
        </w:rPr>
      </w:pPr>
      <w:r w:rsidRPr="00081FD3">
        <w:rPr>
          <w:rFonts w:ascii="Arial" w:hAnsi="Arial" w:cs="Arial"/>
          <w:color w:val="2F5496" w:themeColor="accent1" w:themeShade="BF"/>
          <w:sz w:val="20"/>
          <w:szCs w:val="20"/>
        </w:rPr>
        <w:t>About the Melbourne Disability Institute</w:t>
      </w:r>
    </w:p>
    <w:p w14:paraId="7BBAA1B9" w14:textId="45294DE3"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The Melbourne Disability Institute (MDI) is an interdisciplinary research institute that was established by the University of Melbourne in 2018 to build a collaborative, interdisciplinary and translational disability research program. The MDI research agenda </w:t>
      </w:r>
      <w:r w:rsidR="00B9168A" w:rsidRPr="00826A9D">
        <w:rPr>
          <w:rFonts w:ascii="Arial" w:hAnsi="Arial" w:cs="Arial"/>
          <w:sz w:val="20"/>
          <w:szCs w:val="20"/>
        </w:rPr>
        <w:t xml:space="preserve">aims to </w:t>
      </w:r>
      <w:r w:rsidR="001B4473" w:rsidRPr="00826A9D">
        <w:rPr>
          <w:rFonts w:ascii="Arial" w:hAnsi="Arial" w:cs="Arial"/>
          <w:sz w:val="20"/>
          <w:szCs w:val="20"/>
        </w:rPr>
        <w:t xml:space="preserve">capitalise on national reforms, trailblazing global academic research, and </w:t>
      </w:r>
      <w:bookmarkStart w:id="3" w:name="_Hlk71631840"/>
      <w:r w:rsidR="001B4473" w:rsidRPr="00826A9D">
        <w:rPr>
          <w:rFonts w:ascii="Arial" w:hAnsi="Arial" w:cs="Arial"/>
          <w:sz w:val="20"/>
          <w:szCs w:val="20"/>
        </w:rPr>
        <w:t xml:space="preserve">active partnerships with the disability sector </w:t>
      </w:r>
      <w:bookmarkEnd w:id="3"/>
      <w:r w:rsidR="001B4473" w:rsidRPr="00826A9D">
        <w:rPr>
          <w:rFonts w:ascii="Arial" w:hAnsi="Arial" w:cs="Arial"/>
          <w:sz w:val="20"/>
          <w:szCs w:val="20"/>
        </w:rPr>
        <w:t xml:space="preserve">to deliver </w:t>
      </w:r>
      <w:r w:rsidRPr="00826A9D">
        <w:rPr>
          <w:rFonts w:ascii="Arial" w:hAnsi="Arial" w:cs="Arial"/>
          <w:sz w:val="20"/>
          <w:szCs w:val="20"/>
        </w:rPr>
        <w:t xml:space="preserve">evidence for transformation. </w:t>
      </w:r>
    </w:p>
    <w:p w14:paraId="028D2384" w14:textId="77777777" w:rsidR="008D1041" w:rsidRPr="00826A9D" w:rsidRDefault="008D1041" w:rsidP="008D1041">
      <w:pPr>
        <w:spacing w:after="0" w:line="240" w:lineRule="auto"/>
        <w:rPr>
          <w:rFonts w:ascii="Arial" w:hAnsi="Arial" w:cs="Arial"/>
          <w:sz w:val="20"/>
          <w:szCs w:val="20"/>
        </w:rPr>
      </w:pPr>
    </w:p>
    <w:p w14:paraId="41DB29D2" w14:textId="2440CAB9"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The Melbourne Disability Institute (MDI) is situated on the land of the Woiwurrung (Wurundjeri) people of the Kulin nation and conducts its activities on Aboriginal land. This land has never been ceded and the impacts of </w:t>
      </w:r>
      <w:r w:rsidR="001B4473" w:rsidRPr="00826A9D">
        <w:rPr>
          <w:rFonts w:ascii="Arial" w:hAnsi="Arial" w:cs="Arial"/>
          <w:sz w:val="20"/>
          <w:szCs w:val="20"/>
        </w:rPr>
        <w:t>c</w:t>
      </w:r>
      <w:r w:rsidR="001366D9" w:rsidRPr="00826A9D">
        <w:rPr>
          <w:rFonts w:ascii="Arial" w:hAnsi="Arial" w:cs="Arial"/>
          <w:sz w:val="20"/>
          <w:szCs w:val="20"/>
        </w:rPr>
        <w:t>olonization</w:t>
      </w:r>
      <w:r w:rsidRPr="00826A9D">
        <w:rPr>
          <w:rFonts w:ascii="Arial" w:hAnsi="Arial" w:cs="Arial"/>
          <w:sz w:val="20"/>
          <w:szCs w:val="20"/>
        </w:rPr>
        <w:t xml:space="preserve"> are ongoing. MDI acknowledges Traditional Custodians’ continual care for country, the importance of Indigenous sustainability practice and knowledge, and the Woiwurrung and Boon Wurrung’s ongoing contributions to the life of this city and this region. MDI pays respects to Elders past, present and emerging. </w:t>
      </w:r>
    </w:p>
    <w:p w14:paraId="19D90BDE" w14:textId="77777777" w:rsidR="008D1041" w:rsidRPr="00826A9D" w:rsidRDefault="008D1041" w:rsidP="008D1041">
      <w:pPr>
        <w:spacing w:after="0" w:line="240" w:lineRule="auto"/>
        <w:rPr>
          <w:rFonts w:ascii="Arial" w:hAnsi="Arial" w:cs="Arial"/>
          <w:sz w:val="20"/>
          <w:szCs w:val="20"/>
        </w:rPr>
      </w:pPr>
    </w:p>
    <w:p w14:paraId="0FE0419F" w14:textId="77777777" w:rsidR="008D1041" w:rsidRPr="00081FD3" w:rsidRDefault="008D1041" w:rsidP="00081FD3">
      <w:pPr>
        <w:rPr>
          <w:rFonts w:ascii="Arial" w:hAnsi="Arial" w:cs="Arial"/>
          <w:color w:val="2F5496" w:themeColor="accent1" w:themeShade="BF"/>
          <w:sz w:val="20"/>
          <w:szCs w:val="20"/>
        </w:rPr>
      </w:pPr>
      <w:r w:rsidRPr="00081FD3">
        <w:rPr>
          <w:rFonts w:ascii="Arial" w:hAnsi="Arial" w:cs="Arial"/>
          <w:color w:val="2F5496" w:themeColor="accent1" w:themeShade="BF"/>
          <w:sz w:val="20"/>
          <w:szCs w:val="20"/>
        </w:rPr>
        <w:t>Contact details</w:t>
      </w:r>
    </w:p>
    <w:p w14:paraId="29422C8E" w14:textId="39369DA4"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The University of Melbourne </w:t>
      </w:r>
    </w:p>
    <w:p w14:paraId="6AB41B79" w14:textId="77777777"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Melbourne Disability Institute </w:t>
      </w:r>
    </w:p>
    <w:p w14:paraId="1A8EF3A2" w14:textId="77777777"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Parkville, Victoria, 3010 Australia </w:t>
      </w:r>
    </w:p>
    <w:p w14:paraId="79255F4C" w14:textId="77777777" w:rsidR="008D1041" w:rsidRPr="00826A9D" w:rsidRDefault="008D1041" w:rsidP="008D1041">
      <w:pPr>
        <w:spacing w:after="0" w:line="240" w:lineRule="auto"/>
        <w:rPr>
          <w:rFonts w:ascii="Arial" w:hAnsi="Arial" w:cs="Arial"/>
          <w:sz w:val="20"/>
          <w:szCs w:val="20"/>
        </w:rPr>
      </w:pPr>
      <w:r w:rsidRPr="00826A9D">
        <w:rPr>
          <w:rFonts w:ascii="Arial" w:hAnsi="Arial" w:cs="Arial"/>
          <w:sz w:val="20"/>
          <w:szCs w:val="20"/>
        </w:rPr>
        <w:t>t: +61 3 9035 6416</w:t>
      </w:r>
    </w:p>
    <w:p w14:paraId="17AAD7C8" w14:textId="2F485FDB" w:rsidR="001B3300" w:rsidRPr="00826A9D" w:rsidRDefault="008D1041" w:rsidP="008D1041">
      <w:pPr>
        <w:spacing w:after="0" w:line="240" w:lineRule="auto"/>
        <w:rPr>
          <w:rFonts w:ascii="Arial" w:hAnsi="Arial" w:cs="Arial"/>
          <w:sz w:val="20"/>
          <w:szCs w:val="20"/>
        </w:rPr>
      </w:pPr>
      <w:r w:rsidRPr="00826A9D">
        <w:rPr>
          <w:rFonts w:ascii="Arial" w:hAnsi="Arial" w:cs="Arial"/>
          <w:sz w:val="20"/>
          <w:szCs w:val="20"/>
        </w:rPr>
        <w:t xml:space="preserve">e: </w:t>
      </w:r>
      <w:hyperlink r:id="rId9" w:history="1">
        <w:r w:rsidR="001366D9" w:rsidRPr="00826A9D">
          <w:rPr>
            <w:rStyle w:val="Hyperlink"/>
            <w:rFonts w:ascii="Arial" w:hAnsi="Arial" w:cs="Arial"/>
            <w:sz w:val="20"/>
            <w:szCs w:val="20"/>
          </w:rPr>
          <w:t>md-i@unimelb.edu.au</w:t>
        </w:r>
      </w:hyperlink>
      <w:r w:rsidR="001366D9" w:rsidRPr="00826A9D">
        <w:rPr>
          <w:rFonts w:ascii="Arial" w:hAnsi="Arial" w:cs="Arial"/>
          <w:sz w:val="20"/>
          <w:szCs w:val="20"/>
        </w:rPr>
        <w:t xml:space="preserve"> </w:t>
      </w:r>
    </w:p>
    <w:p w14:paraId="0692288F" w14:textId="302A9AD1" w:rsidR="001B3300" w:rsidRPr="00826A9D" w:rsidRDefault="001B3300" w:rsidP="008D1041">
      <w:pPr>
        <w:spacing w:after="0" w:line="240" w:lineRule="auto"/>
        <w:rPr>
          <w:rFonts w:ascii="Arial" w:hAnsi="Arial" w:cs="Arial"/>
          <w:sz w:val="20"/>
          <w:szCs w:val="20"/>
        </w:rPr>
      </w:pPr>
    </w:p>
    <w:p w14:paraId="6D82057C" w14:textId="301963C7" w:rsidR="001B3300" w:rsidRPr="00826A9D" w:rsidRDefault="001B3300" w:rsidP="008D1041">
      <w:pPr>
        <w:spacing w:after="0" w:line="240" w:lineRule="auto"/>
        <w:rPr>
          <w:rFonts w:ascii="Arial" w:hAnsi="Arial" w:cs="Arial"/>
          <w:sz w:val="20"/>
          <w:szCs w:val="20"/>
        </w:rPr>
      </w:pPr>
      <w:r w:rsidRPr="00826A9D">
        <w:rPr>
          <w:rFonts w:ascii="Arial" w:hAnsi="Arial" w:cs="Arial"/>
          <w:sz w:val="20"/>
          <w:szCs w:val="20"/>
        </w:rPr>
        <w:t>Dr Sue Olney</w:t>
      </w:r>
    </w:p>
    <w:p w14:paraId="5A42C1A7" w14:textId="179D0F2F" w:rsidR="004051C8" w:rsidRPr="00826A9D" w:rsidRDefault="001B3300" w:rsidP="008D1041">
      <w:pPr>
        <w:spacing w:after="0" w:line="240" w:lineRule="auto"/>
        <w:rPr>
          <w:rFonts w:ascii="Arial" w:hAnsi="Arial" w:cs="Arial"/>
          <w:sz w:val="20"/>
          <w:szCs w:val="20"/>
        </w:rPr>
      </w:pPr>
      <w:r w:rsidRPr="00826A9D">
        <w:rPr>
          <w:rFonts w:ascii="Arial" w:hAnsi="Arial" w:cs="Arial"/>
          <w:sz w:val="20"/>
          <w:szCs w:val="20"/>
        </w:rPr>
        <w:t xml:space="preserve">e: </w:t>
      </w:r>
      <w:hyperlink r:id="rId10" w:history="1">
        <w:r w:rsidRPr="00826A9D">
          <w:rPr>
            <w:rStyle w:val="Hyperlink"/>
            <w:rFonts w:ascii="Arial" w:hAnsi="Arial" w:cs="Arial"/>
            <w:sz w:val="20"/>
            <w:szCs w:val="20"/>
          </w:rPr>
          <w:t>s.olney@unimelb.edu.au</w:t>
        </w:r>
      </w:hyperlink>
      <w:r w:rsidRPr="00826A9D">
        <w:rPr>
          <w:rFonts w:ascii="Arial" w:hAnsi="Arial" w:cs="Arial"/>
          <w:sz w:val="20"/>
          <w:szCs w:val="20"/>
        </w:rPr>
        <w:t xml:space="preserve"> </w:t>
      </w:r>
      <w:r w:rsidR="008D1041" w:rsidRPr="00826A9D">
        <w:rPr>
          <w:rFonts w:ascii="Arial" w:hAnsi="Arial" w:cs="Arial"/>
          <w:sz w:val="20"/>
          <w:szCs w:val="20"/>
        </w:rPr>
        <w:t xml:space="preserve">    </w:t>
      </w:r>
    </w:p>
    <w:p w14:paraId="1675A8FE" w14:textId="139CC4D3" w:rsidR="00C7759E" w:rsidRDefault="00C7759E">
      <w:pPr>
        <w:rPr>
          <w:rFonts w:ascii="Arial" w:hAnsi="Arial" w:cs="Arial"/>
          <w:sz w:val="20"/>
          <w:szCs w:val="20"/>
        </w:rPr>
      </w:pPr>
    </w:p>
    <w:p w14:paraId="003795DE" w14:textId="77777777" w:rsidR="00081FD3" w:rsidRDefault="00081FD3" w:rsidP="0010690C">
      <w:pPr>
        <w:pBdr>
          <w:bottom w:val="single" w:sz="18" w:space="1" w:color="4472C4" w:themeColor="accent1"/>
        </w:pBdr>
        <w:rPr>
          <w:rFonts w:ascii="Arial" w:hAnsi="Arial" w:cs="Arial"/>
          <w:sz w:val="20"/>
          <w:szCs w:val="20"/>
        </w:rPr>
      </w:pPr>
    </w:p>
    <w:sdt>
      <w:sdtPr>
        <w:rPr>
          <w:rFonts w:asciiTheme="minorHAnsi" w:eastAsiaTheme="minorHAnsi" w:hAnsiTheme="minorHAnsi" w:cstheme="minorBidi"/>
          <w:color w:val="auto"/>
          <w:sz w:val="22"/>
          <w:szCs w:val="22"/>
          <w:lang w:val="en-AU"/>
        </w:rPr>
        <w:id w:val="-672489394"/>
        <w:docPartObj>
          <w:docPartGallery w:val="Table of Contents"/>
          <w:docPartUnique/>
        </w:docPartObj>
      </w:sdtPr>
      <w:sdtEndPr>
        <w:rPr>
          <w:b/>
          <w:bCs/>
          <w:noProof/>
          <w:sz w:val="20"/>
          <w:szCs w:val="20"/>
        </w:rPr>
      </w:sdtEndPr>
      <w:sdtContent>
        <w:p w14:paraId="5F913BAE" w14:textId="2947D0CE" w:rsidR="00A40335" w:rsidRPr="00081FD3" w:rsidRDefault="00A40335" w:rsidP="00A40335">
          <w:pPr>
            <w:pStyle w:val="TOCHeading"/>
          </w:pPr>
          <w:r w:rsidRPr="00081FD3">
            <w:t>Contents</w:t>
          </w:r>
        </w:p>
        <w:p w14:paraId="7607336F" w14:textId="77777777" w:rsidR="00A40335" w:rsidRPr="00081FD3" w:rsidRDefault="00A40335" w:rsidP="00A40335">
          <w:pPr>
            <w:rPr>
              <w:rFonts w:ascii="Arial" w:hAnsi="Arial" w:cs="Arial"/>
              <w:lang w:val="en-US"/>
            </w:rPr>
          </w:pPr>
        </w:p>
        <w:p w14:paraId="74DF72A8" w14:textId="53B379E9" w:rsidR="00081FD3" w:rsidRPr="0010690C" w:rsidRDefault="00A40335">
          <w:pPr>
            <w:pStyle w:val="TOC1"/>
            <w:tabs>
              <w:tab w:val="right" w:leader="dot" w:pos="9016"/>
            </w:tabs>
            <w:rPr>
              <w:rFonts w:ascii="Arial" w:eastAsiaTheme="minorEastAsia" w:hAnsi="Arial" w:cs="Arial"/>
              <w:noProof/>
              <w:sz w:val="20"/>
              <w:szCs w:val="20"/>
              <w:lang w:eastAsia="en-AU"/>
            </w:rPr>
          </w:pPr>
          <w:r w:rsidRPr="0010690C">
            <w:rPr>
              <w:rFonts w:ascii="Arial" w:hAnsi="Arial" w:cs="Arial"/>
              <w:sz w:val="20"/>
              <w:szCs w:val="20"/>
            </w:rPr>
            <w:fldChar w:fldCharType="begin"/>
          </w:r>
          <w:r w:rsidRPr="0010690C">
            <w:rPr>
              <w:rFonts w:ascii="Arial" w:hAnsi="Arial" w:cs="Arial"/>
              <w:sz w:val="20"/>
              <w:szCs w:val="20"/>
            </w:rPr>
            <w:instrText xml:space="preserve"> TOC \o "1-3" \h \z \u </w:instrText>
          </w:r>
          <w:r w:rsidRPr="0010690C">
            <w:rPr>
              <w:rFonts w:ascii="Arial" w:hAnsi="Arial" w:cs="Arial"/>
              <w:sz w:val="20"/>
              <w:szCs w:val="20"/>
            </w:rPr>
            <w:fldChar w:fldCharType="separate"/>
          </w:r>
          <w:hyperlink w:anchor="_Toc71897319" w:history="1">
            <w:r w:rsidR="00081FD3" w:rsidRPr="0010690C">
              <w:rPr>
                <w:rStyle w:val="Hyperlink"/>
                <w:rFonts w:ascii="Arial" w:hAnsi="Arial" w:cs="Arial"/>
                <w:noProof/>
                <w:sz w:val="20"/>
                <w:szCs w:val="20"/>
              </w:rPr>
              <w:t>Introduction</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_Toc71897319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3</w:t>
            </w:r>
            <w:r w:rsidR="00081FD3" w:rsidRPr="0010690C">
              <w:rPr>
                <w:rFonts w:ascii="Arial" w:hAnsi="Arial" w:cs="Arial"/>
                <w:noProof/>
                <w:webHidden/>
                <w:sz w:val="20"/>
                <w:szCs w:val="20"/>
              </w:rPr>
              <w:fldChar w:fldCharType="end"/>
            </w:r>
          </w:hyperlink>
        </w:p>
        <w:p w14:paraId="3B3E8660" w14:textId="4B72A667" w:rsidR="00081FD3" w:rsidRPr="0010690C" w:rsidRDefault="00ED4130">
          <w:pPr>
            <w:pStyle w:val="TOC1"/>
            <w:tabs>
              <w:tab w:val="right" w:leader="dot" w:pos="9016"/>
            </w:tabs>
            <w:rPr>
              <w:rFonts w:ascii="Arial" w:eastAsiaTheme="minorEastAsia" w:hAnsi="Arial" w:cs="Arial"/>
              <w:noProof/>
              <w:sz w:val="20"/>
              <w:szCs w:val="20"/>
              <w:lang w:eastAsia="en-AU"/>
            </w:rPr>
          </w:pPr>
          <w:hyperlink w:anchor="_Toc71897320" w:history="1">
            <w:r w:rsidR="00081FD3" w:rsidRPr="0010690C">
              <w:rPr>
                <w:rStyle w:val="Hyperlink"/>
                <w:rFonts w:ascii="Arial" w:hAnsi="Arial" w:cs="Arial"/>
                <w:noProof/>
                <w:sz w:val="20"/>
                <w:szCs w:val="20"/>
              </w:rPr>
              <w:t>Feedback on the proposed vision and priority areas</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_Toc71897320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4</w:t>
            </w:r>
            <w:r w:rsidR="00081FD3" w:rsidRPr="0010690C">
              <w:rPr>
                <w:rFonts w:ascii="Arial" w:hAnsi="Arial" w:cs="Arial"/>
                <w:noProof/>
                <w:webHidden/>
                <w:sz w:val="20"/>
                <w:szCs w:val="20"/>
              </w:rPr>
              <w:fldChar w:fldCharType="end"/>
            </w:r>
          </w:hyperlink>
        </w:p>
        <w:p w14:paraId="68B5E7B7" w14:textId="0D2244E6" w:rsidR="00081FD3" w:rsidRPr="0010690C" w:rsidRDefault="00ED4130">
          <w:pPr>
            <w:pStyle w:val="TOC2"/>
            <w:tabs>
              <w:tab w:val="right" w:leader="dot" w:pos="9016"/>
            </w:tabs>
            <w:rPr>
              <w:rFonts w:ascii="Arial" w:eastAsiaTheme="minorEastAsia" w:hAnsi="Arial" w:cs="Arial"/>
              <w:noProof/>
              <w:sz w:val="20"/>
              <w:szCs w:val="20"/>
              <w:lang w:eastAsia="en-AU"/>
            </w:rPr>
          </w:pPr>
          <w:hyperlink w:anchor="_Toc71897321" w:history="1">
            <w:r w:rsidR="00081FD3" w:rsidRPr="0010690C">
              <w:rPr>
                <w:rStyle w:val="Hyperlink"/>
                <w:rFonts w:ascii="Arial" w:hAnsi="Arial" w:cs="Arial"/>
                <w:noProof/>
                <w:sz w:val="20"/>
                <w:szCs w:val="20"/>
              </w:rPr>
              <w:t>Overarching feedback: Looking back and looking forward</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_Toc71897321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4</w:t>
            </w:r>
            <w:r w:rsidR="00081FD3" w:rsidRPr="0010690C">
              <w:rPr>
                <w:rFonts w:ascii="Arial" w:hAnsi="Arial" w:cs="Arial"/>
                <w:noProof/>
                <w:webHidden/>
                <w:sz w:val="20"/>
                <w:szCs w:val="20"/>
              </w:rPr>
              <w:fldChar w:fldCharType="end"/>
            </w:r>
          </w:hyperlink>
        </w:p>
        <w:p w14:paraId="25874554" w14:textId="18ECB51B" w:rsidR="00081FD3" w:rsidRPr="0010690C" w:rsidRDefault="00ED4130">
          <w:pPr>
            <w:pStyle w:val="TOC2"/>
            <w:tabs>
              <w:tab w:val="right" w:leader="dot" w:pos="9016"/>
            </w:tabs>
            <w:rPr>
              <w:rFonts w:ascii="Arial" w:eastAsiaTheme="minorEastAsia" w:hAnsi="Arial" w:cs="Arial"/>
              <w:noProof/>
              <w:sz w:val="20"/>
              <w:szCs w:val="20"/>
              <w:lang w:eastAsia="en-AU"/>
            </w:rPr>
          </w:pPr>
          <w:hyperlink w:anchor="_Toc71897322" w:history="1">
            <w:r w:rsidR="00081FD3" w:rsidRPr="0010690C">
              <w:rPr>
                <w:rStyle w:val="Hyperlink"/>
                <w:rFonts w:ascii="Arial" w:hAnsi="Arial" w:cs="Arial"/>
                <w:noProof/>
                <w:sz w:val="20"/>
                <w:szCs w:val="20"/>
              </w:rPr>
              <w:t>Scope to strengthen the priority areas</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_Toc71897322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6</w:t>
            </w:r>
            <w:r w:rsidR="00081FD3" w:rsidRPr="0010690C">
              <w:rPr>
                <w:rFonts w:ascii="Arial" w:hAnsi="Arial" w:cs="Arial"/>
                <w:noProof/>
                <w:webHidden/>
                <w:sz w:val="20"/>
                <w:szCs w:val="20"/>
              </w:rPr>
              <w:fldChar w:fldCharType="end"/>
            </w:r>
          </w:hyperlink>
        </w:p>
        <w:p w14:paraId="517B65EE" w14:textId="0C839369" w:rsidR="00081FD3" w:rsidRPr="0010690C" w:rsidRDefault="00ED4130">
          <w:pPr>
            <w:pStyle w:val="TOC3"/>
            <w:tabs>
              <w:tab w:val="right" w:leader="dot" w:pos="9016"/>
            </w:tabs>
            <w:rPr>
              <w:rFonts w:ascii="Arial" w:eastAsiaTheme="minorEastAsia" w:hAnsi="Arial" w:cs="Arial"/>
              <w:noProof/>
              <w:sz w:val="20"/>
              <w:szCs w:val="20"/>
              <w:lang w:eastAsia="en-AU"/>
            </w:rPr>
          </w:pPr>
          <w:hyperlink w:anchor="_Toc71897323" w:history="1">
            <w:r w:rsidR="00081FD3" w:rsidRPr="0010690C">
              <w:rPr>
                <w:rStyle w:val="Hyperlink"/>
                <w:rFonts w:ascii="Arial" w:hAnsi="Arial" w:cs="Arial"/>
                <w:noProof/>
                <w:sz w:val="20"/>
                <w:szCs w:val="20"/>
              </w:rPr>
              <w:t>(1) Lifting employer engagement, capability and demand</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_Toc71897323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6</w:t>
            </w:r>
            <w:r w:rsidR="00081FD3" w:rsidRPr="0010690C">
              <w:rPr>
                <w:rFonts w:ascii="Arial" w:hAnsi="Arial" w:cs="Arial"/>
                <w:noProof/>
                <w:webHidden/>
                <w:sz w:val="20"/>
                <w:szCs w:val="20"/>
              </w:rPr>
              <w:fldChar w:fldCharType="end"/>
            </w:r>
          </w:hyperlink>
        </w:p>
        <w:p w14:paraId="06024111" w14:textId="76576F8C" w:rsidR="00081FD3" w:rsidRPr="0010690C" w:rsidRDefault="00ED4130">
          <w:pPr>
            <w:pStyle w:val="TOC3"/>
            <w:tabs>
              <w:tab w:val="right" w:leader="dot" w:pos="9016"/>
            </w:tabs>
            <w:rPr>
              <w:rFonts w:ascii="Arial" w:eastAsiaTheme="minorEastAsia" w:hAnsi="Arial" w:cs="Arial"/>
              <w:noProof/>
              <w:sz w:val="20"/>
              <w:szCs w:val="20"/>
              <w:lang w:eastAsia="en-AU"/>
            </w:rPr>
          </w:pPr>
          <w:hyperlink w:anchor="_Toc71897324" w:history="1">
            <w:r w:rsidR="00081FD3" w:rsidRPr="0010690C">
              <w:rPr>
                <w:rStyle w:val="Hyperlink"/>
                <w:rFonts w:ascii="Arial" w:hAnsi="Arial" w:cs="Arial"/>
                <w:noProof/>
                <w:sz w:val="20"/>
                <w:szCs w:val="20"/>
              </w:rPr>
              <w:t>(2) Building employment skills, experience and confidence of young people with disability</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_Toc71897324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6</w:t>
            </w:r>
            <w:r w:rsidR="00081FD3" w:rsidRPr="0010690C">
              <w:rPr>
                <w:rFonts w:ascii="Arial" w:hAnsi="Arial" w:cs="Arial"/>
                <w:noProof/>
                <w:webHidden/>
                <w:sz w:val="20"/>
                <w:szCs w:val="20"/>
              </w:rPr>
              <w:fldChar w:fldCharType="end"/>
            </w:r>
          </w:hyperlink>
        </w:p>
        <w:p w14:paraId="1F86E858" w14:textId="31B5DCDA" w:rsidR="00081FD3" w:rsidRPr="0010690C" w:rsidRDefault="00ED4130">
          <w:pPr>
            <w:pStyle w:val="TOC3"/>
            <w:tabs>
              <w:tab w:val="right" w:leader="dot" w:pos="9016"/>
            </w:tabs>
            <w:rPr>
              <w:rFonts w:ascii="Arial" w:eastAsiaTheme="minorEastAsia" w:hAnsi="Arial" w:cs="Arial"/>
              <w:noProof/>
              <w:sz w:val="20"/>
              <w:szCs w:val="20"/>
              <w:lang w:eastAsia="en-AU"/>
            </w:rPr>
          </w:pPr>
          <w:hyperlink w:anchor="_Toc71897325" w:history="1">
            <w:r w:rsidR="00081FD3" w:rsidRPr="0010690C">
              <w:rPr>
                <w:rStyle w:val="Hyperlink"/>
                <w:rFonts w:ascii="Arial" w:hAnsi="Arial" w:cs="Arial"/>
                <w:noProof/>
                <w:sz w:val="20"/>
                <w:szCs w:val="20"/>
              </w:rPr>
              <w:t>(3) Improving systems and services for jobseekers and employers</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_Toc71897325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7</w:t>
            </w:r>
            <w:r w:rsidR="00081FD3" w:rsidRPr="0010690C">
              <w:rPr>
                <w:rFonts w:ascii="Arial" w:hAnsi="Arial" w:cs="Arial"/>
                <w:noProof/>
                <w:webHidden/>
                <w:sz w:val="20"/>
                <w:szCs w:val="20"/>
              </w:rPr>
              <w:fldChar w:fldCharType="end"/>
            </w:r>
          </w:hyperlink>
        </w:p>
        <w:p w14:paraId="158C302B" w14:textId="5A9175DF" w:rsidR="00081FD3" w:rsidRPr="0010690C" w:rsidRDefault="00ED4130">
          <w:pPr>
            <w:pStyle w:val="TOC3"/>
            <w:tabs>
              <w:tab w:val="right" w:leader="dot" w:pos="9016"/>
            </w:tabs>
            <w:rPr>
              <w:rFonts w:ascii="Arial" w:eastAsiaTheme="minorEastAsia" w:hAnsi="Arial" w:cs="Arial"/>
              <w:noProof/>
              <w:sz w:val="20"/>
              <w:szCs w:val="20"/>
              <w:lang w:eastAsia="en-AU"/>
            </w:rPr>
          </w:pPr>
          <w:hyperlink w:anchor="_Toc71897326" w:history="1">
            <w:r w:rsidR="00081FD3" w:rsidRPr="0010690C">
              <w:rPr>
                <w:rStyle w:val="Hyperlink"/>
                <w:rFonts w:ascii="Arial" w:hAnsi="Arial" w:cs="Arial"/>
                <w:noProof/>
                <w:sz w:val="20"/>
                <w:szCs w:val="20"/>
              </w:rPr>
              <w:t>(4) Changing community attitudes:</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_Toc71897326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7</w:t>
            </w:r>
            <w:r w:rsidR="00081FD3" w:rsidRPr="0010690C">
              <w:rPr>
                <w:rFonts w:ascii="Arial" w:hAnsi="Arial" w:cs="Arial"/>
                <w:noProof/>
                <w:webHidden/>
                <w:sz w:val="20"/>
                <w:szCs w:val="20"/>
              </w:rPr>
              <w:fldChar w:fldCharType="end"/>
            </w:r>
          </w:hyperlink>
        </w:p>
        <w:p w14:paraId="3E209DF0" w14:textId="07E10D8D" w:rsidR="00081FD3" w:rsidRPr="0010690C" w:rsidRDefault="00ED4130">
          <w:pPr>
            <w:pStyle w:val="TOC1"/>
            <w:tabs>
              <w:tab w:val="right" w:leader="dot" w:pos="9016"/>
            </w:tabs>
            <w:rPr>
              <w:rFonts w:ascii="Arial" w:eastAsiaTheme="minorEastAsia" w:hAnsi="Arial" w:cs="Arial"/>
              <w:noProof/>
              <w:sz w:val="20"/>
              <w:szCs w:val="20"/>
              <w:lang w:eastAsia="en-AU"/>
            </w:rPr>
          </w:pPr>
          <w:hyperlink w:anchor="_Toc71897327" w:history="1">
            <w:r w:rsidR="00081FD3" w:rsidRPr="0010690C">
              <w:rPr>
                <w:rStyle w:val="Hyperlink"/>
                <w:rFonts w:ascii="Arial" w:hAnsi="Arial" w:cs="Arial"/>
                <w:noProof/>
                <w:sz w:val="20"/>
                <w:szCs w:val="20"/>
              </w:rPr>
              <w:t>Our recommendations to strengthen the strategy</w:t>
            </w:r>
            <w:r w:rsidR="00081FD3" w:rsidRPr="0010690C">
              <w:rPr>
                <w:rFonts w:ascii="Arial" w:hAnsi="Arial" w:cs="Arial"/>
                <w:noProof/>
                <w:webHidden/>
                <w:sz w:val="20"/>
                <w:szCs w:val="20"/>
              </w:rPr>
              <w:tab/>
            </w:r>
            <w:r w:rsidR="00081FD3" w:rsidRPr="0010690C">
              <w:rPr>
                <w:rFonts w:ascii="Arial" w:hAnsi="Arial" w:cs="Arial"/>
                <w:noProof/>
                <w:webHidden/>
                <w:sz w:val="20"/>
                <w:szCs w:val="20"/>
              </w:rPr>
              <w:fldChar w:fldCharType="begin"/>
            </w:r>
            <w:r w:rsidR="00081FD3" w:rsidRPr="0010690C">
              <w:rPr>
                <w:rFonts w:ascii="Arial" w:hAnsi="Arial" w:cs="Arial"/>
                <w:noProof/>
                <w:webHidden/>
                <w:sz w:val="20"/>
                <w:szCs w:val="20"/>
              </w:rPr>
              <w:instrText xml:space="preserve"> PAGEREF _Toc71897327 \h </w:instrText>
            </w:r>
            <w:r w:rsidR="00081FD3" w:rsidRPr="0010690C">
              <w:rPr>
                <w:rFonts w:ascii="Arial" w:hAnsi="Arial" w:cs="Arial"/>
                <w:noProof/>
                <w:webHidden/>
                <w:sz w:val="20"/>
                <w:szCs w:val="20"/>
              </w:rPr>
            </w:r>
            <w:r w:rsidR="00081FD3" w:rsidRPr="0010690C">
              <w:rPr>
                <w:rFonts w:ascii="Arial" w:hAnsi="Arial" w:cs="Arial"/>
                <w:noProof/>
                <w:webHidden/>
                <w:sz w:val="20"/>
                <w:szCs w:val="20"/>
              </w:rPr>
              <w:fldChar w:fldCharType="separate"/>
            </w:r>
            <w:r w:rsidR="00081FD3" w:rsidRPr="0010690C">
              <w:rPr>
                <w:rFonts w:ascii="Arial" w:hAnsi="Arial" w:cs="Arial"/>
                <w:noProof/>
                <w:webHidden/>
                <w:sz w:val="20"/>
                <w:szCs w:val="20"/>
              </w:rPr>
              <w:t>8</w:t>
            </w:r>
            <w:r w:rsidR="00081FD3" w:rsidRPr="0010690C">
              <w:rPr>
                <w:rFonts w:ascii="Arial" w:hAnsi="Arial" w:cs="Arial"/>
                <w:noProof/>
                <w:webHidden/>
                <w:sz w:val="20"/>
                <w:szCs w:val="20"/>
              </w:rPr>
              <w:fldChar w:fldCharType="end"/>
            </w:r>
          </w:hyperlink>
        </w:p>
        <w:p w14:paraId="61AB7B85" w14:textId="21D27A92" w:rsidR="00A40335" w:rsidRDefault="00A40335">
          <w:r w:rsidRPr="0010690C">
            <w:rPr>
              <w:rFonts w:ascii="Arial" w:hAnsi="Arial" w:cs="Arial"/>
              <w:b/>
              <w:bCs/>
              <w:noProof/>
              <w:sz w:val="20"/>
              <w:szCs w:val="20"/>
            </w:rPr>
            <w:fldChar w:fldCharType="end"/>
          </w:r>
        </w:p>
      </w:sdtContent>
    </w:sdt>
    <w:p w14:paraId="5E7C44D5" w14:textId="77777777" w:rsidR="00C7759E" w:rsidRDefault="00C7759E" w:rsidP="0010690C">
      <w:pPr>
        <w:pBdr>
          <w:top w:val="single" w:sz="18" w:space="1" w:color="4472C4" w:themeColor="accent1"/>
        </w:pBdr>
        <w:rPr>
          <w:rFonts w:ascii="Arial" w:hAnsi="Arial" w:cs="Arial"/>
          <w:sz w:val="20"/>
          <w:szCs w:val="20"/>
        </w:rPr>
      </w:pPr>
    </w:p>
    <w:p w14:paraId="1F4A3EE9" w14:textId="3AE0D5F1" w:rsidR="001366D9" w:rsidRPr="00826A9D" w:rsidRDefault="001366D9">
      <w:pPr>
        <w:rPr>
          <w:rFonts w:ascii="Arial" w:hAnsi="Arial" w:cs="Arial"/>
          <w:sz w:val="20"/>
          <w:szCs w:val="20"/>
        </w:rPr>
      </w:pPr>
      <w:r w:rsidRPr="00826A9D">
        <w:rPr>
          <w:rFonts w:ascii="Arial" w:hAnsi="Arial" w:cs="Arial"/>
          <w:sz w:val="20"/>
          <w:szCs w:val="20"/>
        </w:rPr>
        <w:br w:type="page"/>
      </w:r>
    </w:p>
    <w:p w14:paraId="32918C07" w14:textId="77777777" w:rsidR="001366D9" w:rsidRPr="00826A9D" w:rsidRDefault="001366D9" w:rsidP="008D1041">
      <w:pPr>
        <w:spacing w:after="0" w:line="240" w:lineRule="auto"/>
        <w:rPr>
          <w:rFonts w:ascii="Arial" w:hAnsi="Arial" w:cs="Arial"/>
          <w:sz w:val="20"/>
          <w:szCs w:val="20"/>
        </w:rPr>
      </w:pPr>
    </w:p>
    <w:p w14:paraId="389DF587" w14:textId="77777777" w:rsidR="001366D9" w:rsidRPr="00A40335" w:rsidRDefault="001366D9" w:rsidP="00A40335">
      <w:pPr>
        <w:pStyle w:val="Heading1"/>
      </w:pPr>
      <w:bookmarkStart w:id="4" w:name="_Toc71897319"/>
      <w:r w:rsidRPr="00A40335">
        <w:t>Introduction</w:t>
      </w:r>
      <w:bookmarkEnd w:id="4"/>
    </w:p>
    <w:p w14:paraId="265631E1" w14:textId="77777777" w:rsidR="001366D9" w:rsidRPr="00826A9D" w:rsidRDefault="001366D9" w:rsidP="00B9168A">
      <w:pPr>
        <w:spacing w:after="0" w:line="240" w:lineRule="auto"/>
        <w:jc w:val="both"/>
        <w:rPr>
          <w:rFonts w:ascii="Arial" w:hAnsi="Arial" w:cs="Arial"/>
          <w:sz w:val="20"/>
          <w:szCs w:val="20"/>
        </w:rPr>
      </w:pPr>
    </w:p>
    <w:p w14:paraId="13524B8B" w14:textId="77777777" w:rsidR="00CD7647" w:rsidRPr="00826A9D" w:rsidRDefault="00CD7647" w:rsidP="00B9168A">
      <w:pPr>
        <w:spacing w:after="0" w:line="240" w:lineRule="auto"/>
        <w:jc w:val="both"/>
        <w:rPr>
          <w:rFonts w:ascii="Arial" w:hAnsi="Arial" w:cs="Arial"/>
          <w:sz w:val="20"/>
          <w:szCs w:val="20"/>
        </w:rPr>
      </w:pPr>
    </w:p>
    <w:p w14:paraId="6C526764" w14:textId="35FB1F7F" w:rsidR="000D0BCB" w:rsidRPr="00826A9D" w:rsidRDefault="001366D9" w:rsidP="00B9168A">
      <w:pPr>
        <w:spacing w:after="0" w:line="240" w:lineRule="auto"/>
        <w:jc w:val="both"/>
        <w:rPr>
          <w:rFonts w:ascii="Arial" w:hAnsi="Arial" w:cs="Arial"/>
          <w:sz w:val="20"/>
          <w:szCs w:val="20"/>
        </w:rPr>
      </w:pPr>
      <w:r w:rsidRPr="00826A9D">
        <w:rPr>
          <w:rFonts w:ascii="Arial" w:hAnsi="Arial" w:cs="Arial"/>
          <w:sz w:val="20"/>
          <w:szCs w:val="20"/>
        </w:rPr>
        <w:t xml:space="preserve">The Melbourne Disability Institute (MDI) </w:t>
      </w:r>
      <w:r w:rsidR="00151584" w:rsidRPr="00826A9D">
        <w:rPr>
          <w:rFonts w:ascii="Arial" w:hAnsi="Arial" w:cs="Arial"/>
          <w:sz w:val="20"/>
          <w:szCs w:val="20"/>
        </w:rPr>
        <w:t xml:space="preserve">welcomes the opportunity to </w:t>
      </w:r>
      <w:r w:rsidRPr="00826A9D">
        <w:rPr>
          <w:rFonts w:ascii="Arial" w:hAnsi="Arial" w:cs="Arial"/>
          <w:sz w:val="20"/>
          <w:szCs w:val="20"/>
        </w:rPr>
        <w:t xml:space="preserve">be part of the consultation process shaping the development of Australia’s National Disability Employment Strategy (NDES). </w:t>
      </w:r>
      <w:r w:rsidR="000D0BCB" w:rsidRPr="00826A9D">
        <w:rPr>
          <w:rFonts w:ascii="Arial" w:hAnsi="Arial" w:cs="Arial"/>
          <w:sz w:val="20"/>
          <w:szCs w:val="20"/>
        </w:rPr>
        <w:t xml:space="preserve">We </w:t>
      </w:r>
      <w:r w:rsidR="00174168" w:rsidRPr="00826A9D">
        <w:rPr>
          <w:rFonts w:ascii="Arial" w:hAnsi="Arial" w:cs="Arial"/>
          <w:sz w:val="20"/>
          <w:szCs w:val="20"/>
        </w:rPr>
        <w:t xml:space="preserve">are committed to </w:t>
      </w:r>
      <w:r w:rsidR="000D0BCB" w:rsidRPr="00826A9D">
        <w:rPr>
          <w:rFonts w:ascii="Arial" w:hAnsi="Arial" w:cs="Arial"/>
          <w:sz w:val="20"/>
          <w:szCs w:val="20"/>
        </w:rPr>
        <w:t xml:space="preserve">improving the lives of people with disability, their families and carers through evidence-informed policy and practice. Understanding barriers to employment for people with disability is a crucial component of that. Our work in that arena is informed by </w:t>
      </w:r>
      <w:r w:rsidR="001B4473" w:rsidRPr="00826A9D">
        <w:rPr>
          <w:rFonts w:ascii="Arial" w:hAnsi="Arial" w:cs="Arial"/>
          <w:sz w:val="20"/>
          <w:szCs w:val="20"/>
        </w:rPr>
        <w:t>collaborative, inclusive and interdisciplinary r</w:t>
      </w:r>
      <w:r w:rsidR="000D0BCB" w:rsidRPr="00826A9D">
        <w:rPr>
          <w:rFonts w:ascii="Arial" w:hAnsi="Arial" w:cs="Arial"/>
          <w:sz w:val="20"/>
          <w:szCs w:val="20"/>
        </w:rPr>
        <w:t>esearch</w:t>
      </w:r>
      <w:r w:rsidR="00476008" w:rsidRPr="00826A9D">
        <w:rPr>
          <w:rFonts w:ascii="Arial" w:hAnsi="Arial" w:cs="Arial"/>
          <w:sz w:val="20"/>
          <w:szCs w:val="20"/>
        </w:rPr>
        <w:t xml:space="preserve"> </w:t>
      </w:r>
      <w:r w:rsidR="000D0BCB" w:rsidRPr="00826A9D">
        <w:rPr>
          <w:rFonts w:ascii="Arial" w:hAnsi="Arial" w:cs="Arial"/>
          <w:sz w:val="20"/>
          <w:szCs w:val="20"/>
        </w:rPr>
        <w:t xml:space="preserve">and relationships with </w:t>
      </w:r>
      <w:r w:rsidRPr="00826A9D">
        <w:rPr>
          <w:rFonts w:ascii="Arial" w:hAnsi="Arial" w:cs="Arial"/>
          <w:sz w:val="20"/>
          <w:szCs w:val="20"/>
        </w:rPr>
        <w:t>national and international experts in disability employment</w:t>
      </w:r>
      <w:r w:rsidR="00476008" w:rsidRPr="00826A9D">
        <w:rPr>
          <w:rFonts w:ascii="Arial" w:hAnsi="Arial" w:cs="Arial"/>
          <w:sz w:val="20"/>
          <w:szCs w:val="20"/>
        </w:rPr>
        <w:t xml:space="preserve">, </w:t>
      </w:r>
      <w:r w:rsidR="00B9168A" w:rsidRPr="00826A9D">
        <w:rPr>
          <w:rFonts w:ascii="Arial" w:hAnsi="Arial" w:cs="Arial"/>
          <w:sz w:val="20"/>
          <w:szCs w:val="20"/>
        </w:rPr>
        <w:t xml:space="preserve">active partnerships with the disability sector, </w:t>
      </w:r>
      <w:r w:rsidR="00476008" w:rsidRPr="00826A9D">
        <w:rPr>
          <w:rFonts w:ascii="Arial" w:hAnsi="Arial" w:cs="Arial"/>
          <w:sz w:val="20"/>
          <w:szCs w:val="20"/>
        </w:rPr>
        <w:t>and grounded understanding of the environment in which Australians with disability are seeking employment</w:t>
      </w:r>
      <w:r w:rsidR="000D0BCB" w:rsidRPr="00826A9D">
        <w:rPr>
          <w:rFonts w:ascii="Arial" w:hAnsi="Arial" w:cs="Arial"/>
          <w:sz w:val="20"/>
          <w:szCs w:val="20"/>
        </w:rPr>
        <w:t>.</w:t>
      </w:r>
    </w:p>
    <w:p w14:paraId="146B356D" w14:textId="6FED65B8" w:rsidR="000D0BCB" w:rsidRPr="00826A9D" w:rsidRDefault="000D0BCB" w:rsidP="00B9168A">
      <w:pPr>
        <w:spacing w:after="0" w:line="240" w:lineRule="auto"/>
        <w:jc w:val="both"/>
        <w:rPr>
          <w:rFonts w:ascii="Arial" w:hAnsi="Arial" w:cs="Arial"/>
          <w:sz w:val="20"/>
          <w:szCs w:val="20"/>
        </w:rPr>
      </w:pPr>
    </w:p>
    <w:p w14:paraId="5694482F" w14:textId="3D75DBAE" w:rsidR="000D0BCB" w:rsidRPr="00826A9D" w:rsidRDefault="000D0BCB" w:rsidP="00B9168A">
      <w:pPr>
        <w:spacing w:after="0" w:line="240" w:lineRule="auto"/>
        <w:jc w:val="both"/>
        <w:rPr>
          <w:rFonts w:ascii="Arial" w:hAnsi="Arial" w:cs="Arial"/>
          <w:sz w:val="20"/>
          <w:szCs w:val="20"/>
        </w:rPr>
      </w:pPr>
      <w:r w:rsidRPr="00826A9D">
        <w:rPr>
          <w:rFonts w:ascii="Arial" w:hAnsi="Arial" w:cs="Arial"/>
          <w:sz w:val="20"/>
          <w:szCs w:val="20"/>
        </w:rPr>
        <w:t xml:space="preserve">Professor </w:t>
      </w:r>
      <w:r w:rsidR="001B4473" w:rsidRPr="00826A9D">
        <w:rPr>
          <w:rFonts w:ascii="Arial" w:hAnsi="Arial" w:cs="Arial"/>
          <w:sz w:val="20"/>
          <w:szCs w:val="20"/>
        </w:rPr>
        <w:t xml:space="preserve">Bruce </w:t>
      </w:r>
      <w:r w:rsidRPr="00826A9D">
        <w:rPr>
          <w:rFonts w:ascii="Arial" w:hAnsi="Arial" w:cs="Arial"/>
          <w:sz w:val="20"/>
          <w:szCs w:val="20"/>
        </w:rPr>
        <w:t xml:space="preserve">Bonyhady is a disability reformer, economist, </w:t>
      </w:r>
      <w:r w:rsidR="001B4473" w:rsidRPr="00826A9D">
        <w:rPr>
          <w:rFonts w:ascii="Arial" w:hAnsi="Arial" w:cs="Arial"/>
          <w:sz w:val="20"/>
          <w:szCs w:val="20"/>
        </w:rPr>
        <w:t xml:space="preserve">and </w:t>
      </w:r>
      <w:r w:rsidRPr="00826A9D">
        <w:rPr>
          <w:rFonts w:ascii="Arial" w:hAnsi="Arial" w:cs="Arial"/>
          <w:sz w:val="20"/>
          <w:szCs w:val="20"/>
        </w:rPr>
        <w:t>one of the key architects of the National Disability Insurance Scheme (NDIS)</w:t>
      </w:r>
      <w:r w:rsidR="001B4473" w:rsidRPr="00826A9D">
        <w:rPr>
          <w:rFonts w:ascii="Arial" w:hAnsi="Arial" w:cs="Arial"/>
          <w:sz w:val="20"/>
          <w:szCs w:val="20"/>
        </w:rPr>
        <w:t xml:space="preserve">. He </w:t>
      </w:r>
      <w:r w:rsidRPr="00826A9D">
        <w:rPr>
          <w:rFonts w:ascii="Arial" w:hAnsi="Arial" w:cs="Arial"/>
          <w:sz w:val="20"/>
          <w:szCs w:val="20"/>
        </w:rPr>
        <w:t xml:space="preserve">was the inaugural Chair of the National Disability Insurance Agency from 2013 to 2016. </w:t>
      </w:r>
      <w:r w:rsidR="00151584" w:rsidRPr="00826A9D">
        <w:rPr>
          <w:rFonts w:ascii="Arial" w:hAnsi="Arial" w:cs="Arial"/>
          <w:sz w:val="20"/>
          <w:szCs w:val="20"/>
        </w:rPr>
        <w:t>Bruce</w:t>
      </w:r>
      <w:r w:rsidRPr="00826A9D">
        <w:rPr>
          <w:rFonts w:ascii="Arial" w:hAnsi="Arial" w:cs="Arial"/>
          <w:sz w:val="20"/>
          <w:szCs w:val="20"/>
        </w:rPr>
        <w:t xml:space="preserve"> began his career in the Australian Treasury and also worked in economic consulting, funds management and insurance in Australia and the UK, before becoming a non-executive director. His non-executive roles include President of Philanthropy Australia (2006-13). </w:t>
      </w:r>
      <w:r w:rsidR="00151584" w:rsidRPr="00826A9D">
        <w:rPr>
          <w:rFonts w:ascii="Arial" w:hAnsi="Arial" w:cs="Arial"/>
          <w:sz w:val="20"/>
          <w:szCs w:val="20"/>
        </w:rPr>
        <w:t>Bruce</w:t>
      </w:r>
      <w:r w:rsidRPr="00826A9D">
        <w:rPr>
          <w:rFonts w:ascii="Arial" w:hAnsi="Arial" w:cs="Arial"/>
          <w:sz w:val="20"/>
          <w:szCs w:val="20"/>
        </w:rPr>
        <w:t xml:space="preserve"> is the father of three adult sons, two of whom have disabilities</w:t>
      </w:r>
      <w:r w:rsidR="00151584" w:rsidRPr="00826A9D">
        <w:rPr>
          <w:rFonts w:ascii="Arial" w:hAnsi="Arial" w:cs="Arial"/>
          <w:sz w:val="20"/>
          <w:szCs w:val="20"/>
        </w:rPr>
        <w:t>. In</w:t>
      </w:r>
      <w:r w:rsidRPr="00826A9D">
        <w:rPr>
          <w:rFonts w:ascii="Arial" w:hAnsi="Arial" w:cs="Arial"/>
          <w:sz w:val="20"/>
          <w:szCs w:val="20"/>
        </w:rPr>
        <w:t xml:space="preserve"> the 2010 Queen's Birthday Honours, he was appointed as a Member of the Order of Australia for services to people with disabilities, their families and carers, and to the community as a contributor to a range of charitable organisations.</w:t>
      </w:r>
    </w:p>
    <w:p w14:paraId="51D5852C" w14:textId="305561C3" w:rsidR="001366D9" w:rsidRPr="00826A9D" w:rsidRDefault="000D0BCB" w:rsidP="00B9168A">
      <w:pPr>
        <w:spacing w:after="0" w:line="240" w:lineRule="auto"/>
        <w:jc w:val="both"/>
        <w:rPr>
          <w:rFonts w:ascii="Arial" w:hAnsi="Arial" w:cs="Arial"/>
          <w:sz w:val="20"/>
          <w:szCs w:val="20"/>
        </w:rPr>
      </w:pPr>
      <w:r w:rsidRPr="00826A9D">
        <w:rPr>
          <w:rFonts w:ascii="Arial" w:hAnsi="Arial" w:cs="Arial"/>
          <w:sz w:val="20"/>
          <w:szCs w:val="20"/>
        </w:rPr>
        <w:t xml:space="preserve"> </w:t>
      </w:r>
    </w:p>
    <w:p w14:paraId="2FD1F9E0" w14:textId="77777777" w:rsidR="00F16020" w:rsidRDefault="00F16020" w:rsidP="00F16020">
      <w:pPr>
        <w:spacing w:after="0" w:line="240" w:lineRule="auto"/>
        <w:jc w:val="both"/>
        <w:rPr>
          <w:rFonts w:ascii="Arial" w:hAnsi="Arial" w:cs="Arial"/>
          <w:sz w:val="20"/>
          <w:szCs w:val="20"/>
        </w:rPr>
      </w:pPr>
      <w:r>
        <w:rPr>
          <w:rFonts w:ascii="Arial" w:hAnsi="Arial" w:cs="Arial"/>
          <w:sz w:val="20"/>
          <w:szCs w:val="20"/>
        </w:rPr>
        <w:t xml:space="preserve">Ms Kirsten Deane is the primary author of the influential </w:t>
      </w:r>
      <w:r>
        <w:rPr>
          <w:rFonts w:ascii="Arial" w:hAnsi="Arial" w:cs="Arial"/>
          <w:i/>
          <w:iCs/>
          <w:sz w:val="20"/>
          <w:szCs w:val="20"/>
        </w:rPr>
        <w:t>Shut Out</w:t>
      </w:r>
      <w:r>
        <w:rPr>
          <w:rFonts w:ascii="Arial" w:hAnsi="Arial" w:cs="Arial"/>
          <w:sz w:val="20"/>
          <w:szCs w:val="20"/>
        </w:rPr>
        <w:t xml:space="preserve"> National Disability Strategy consultation report, which revealed barriers to full participation in the economic and social life of the community faced by Australians with disability and the unequal distribution of opportunity across numerous domains, including employment.</w:t>
      </w:r>
      <w:r>
        <w:rPr>
          <w:rStyle w:val="FootnoteReference"/>
          <w:rFonts w:ascii="Arial" w:hAnsi="Arial" w:cs="Arial"/>
          <w:sz w:val="20"/>
          <w:szCs w:val="20"/>
        </w:rPr>
        <w:footnoteReference w:id="1"/>
      </w:r>
      <w:r>
        <w:rPr>
          <w:rFonts w:ascii="Arial" w:hAnsi="Arial" w:cs="Arial"/>
          <w:sz w:val="20"/>
          <w:szCs w:val="20"/>
        </w:rPr>
        <w:t xml:space="preserve"> With more than 15 years of experience in the disability sector in policy, campaigning and communications, Kirsten has been a powerful advocate for people with disability and their families through Every Australian Counts,</w:t>
      </w:r>
      <w:r>
        <w:rPr>
          <w:rStyle w:val="FootnoteReference"/>
          <w:rFonts w:ascii="Arial" w:hAnsi="Arial" w:cs="Arial"/>
          <w:sz w:val="20"/>
          <w:szCs w:val="20"/>
        </w:rPr>
        <w:footnoteReference w:id="2"/>
      </w:r>
      <w:r>
        <w:rPr>
          <w:rFonts w:ascii="Arial" w:hAnsi="Arial" w:cs="Arial"/>
          <w:sz w:val="20"/>
          <w:szCs w:val="20"/>
        </w:rPr>
        <w:t xml:space="preserve"> playing a critical role in building political and public support for the creation of the NDIS and continuing to push for the scheme to achieve its original vision. Kirsten has also worked as an executive director at the National Disability Insurance Agency and served on numerous ministerial councils and advisory committees, including Co-Chair and Deputy Chair of the National People with Disability and Carer Council. </w:t>
      </w:r>
    </w:p>
    <w:p w14:paraId="108055E6" w14:textId="77777777" w:rsidR="001B4473" w:rsidRPr="00826A9D" w:rsidRDefault="001B4473" w:rsidP="00B9168A">
      <w:pPr>
        <w:spacing w:after="0" w:line="240" w:lineRule="auto"/>
        <w:jc w:val="both"/>
        <w:rPr>
          <w:rFonts w:ascii="Arial" w:hAnsi="Arial" w:cs="Arial"/>
          <w:sz w:val="20"/>
          <w:szCs w:val="20"/>
        </w:rPr>
      </w:pPr>
    </w:p>
    <w:p w14:paraId="38C0BC06" w14:textId="71072625" w:rsidR="00B34516" w:rsidRPr="00826A9D" w:rsidRDefault="00B34516" w:rsidP="00B9168A">
      <w:pPr>
        <w:spacing w:after="0" w:line="240" w:lineRule="auto"/>
        <w:jc w:val="both"/>
        <w:rPr>
          <w:rFonts w:ascii="Arial" w:hAnsi="Arial" w:cs="Arial"/>
          <w:sz w:val="20"/>
          <w:szCs w:val="20"/>
        </w:rPr>
      </w:pPr>
      <w:r w:rsidRPr="00826A9D">
        <w:rPr>
          <w:rFonts w:ascii="Arial" w:hAnsi="Arial" w:cs="Arial"/>
          <w:sz w:val="20"/>
          <w:szCs w:val="20"/>
        </w:rPr>
        <w:t>Dr Sue Olney has worked in universities, government, and the not-for-profit sector. She been involved in numerous cross-government, cross-sector and interdisciplinary research projects, government and community sector initiatives, committees and working groups to promote access and equity in employment, education, training, and disability services in Australia. Her research focuses on governance and public administration</w:t>
      </w:r>
      <w:r w:rsidR="00485BCF" w:rsidRPr="00826A9D">
        <w:rPr>
          <w:rFonts w:ascii="Arial" w:hAnsi="Arial" w:cs="Arial"/>
          <w:sz w:val="20"/>
          <w:szCs w:val="20"/>
        </w:rPr>
        <w:t xml:space="preserve"> in relation to </w:t>
      </w:r>
      <w:r w:rsidRPr="00826A9D">
        <w:rPr>
          <w:rFonts w:ascii="Arial" w:hAnsi="Arial" w:cs="Arial"/>
          <w:sz w:val="20"/>
          <w:szCs w:val="20"/>
        </w:rPr>
        <w:t>welfare-to-work and disability</w:t>
      </w:r>
      <w:r w:rsidR="00485BCF" w:rsidRPr="00826A9D">
        <w:rPr>
          <w:rFonts w:ascii="Arial" w:hAnsi="Arial" w:cs="Arial"/>
          <w:sz w:val="20"/>
          <w:szCs w:val="20"/>
        </w:rPr>
        <w:t xml:space="preserve"> services</w:t>
      </w:r>
      <w:r w:rsidR="00F322BA" w:rsidRPr="00826A9D">
        <w:rPr>
          <w:rFonts w:ascii="Arial" w:hAnsi="Arial" w:cs="Arial"/>
          <w:sz w:val="20"/>
          <w:szCs w:val="20"/>
        </w:rPr>
        <w:t>, and on policy related to employment for marginalised jobseekers</w:t>
      </w:r>
      <w:r w:rsidRPr="00826A9D">
        <w:rPr>
          <w:rFonts w:ascii="Arial" w:hAnsi="Arial" w:cs="Arial"/>
          <w:sz w:val="20"/>
          <w:szCs w:val="20"/>
        </w:rPr>
        <w:t>.</w:t>
      </w:r>
    </w:p>
    <w:p w14:paraId="445D43B1" w14:textId="48FAAA8D" w:rsidR="00151584" w:rsidRPr="00826A9D" w:rsidRDefault="00151584" w:rsidP="00B9168A">
      <w:pPr>
        <w:spacing w:after="0" w:line="240" w:lineRule="auto"/>
        <w:jc w:val="both"/>
        <w:rPr>
          <w:rFonts w:ascii="Arial" w:hAnsi="Arial" w:cs="Arial"/>
          <w:sz w:val="20"/>
          <w:szCs w:val="20"/>
        </w:rPr>
      </w:pPr>
    </w:p>
    <w:p w14:paraId="0094A213" w14:textId="77777777" w:rsidR="00DC4D88" w:rsidRPr="00826A9D" w:rsidRDefault="00F92C6B" w:rsidP="00B9168A">
      <w:pPr>
        <w:spacing w:after="0" w:line="240" w:lineRule="auto"/>
        <w:jc w:val="both"/>
        <w:rPr>
          <w:rFonts w:ascii="Arial" w:hAnsi="Arial" w:cs="Arial"/>
          <w:sz w:val="20"/>
          <w:szCs w:val="20"/>
        </w:rPr>
      </w:pPr>
      <w:r w:rsidRPr="00826A9D">
        <w:rPr>
          <w:rFonts w:ascii="Arial" w:hAnsi="Arial" w:cs="Arial"/>
          <w:sz w:val="20"/>
          <w:szCs w:val="20"/>
        </w:rPr>
        <w:t xml:space="preserve">Our response to the </w:t>
      </w:r>
      <w:r w:rsidR="00E80727" w:rsidRPr="00826A9D">
        <w:rPr>
          <w:rFonts w:ascii="Arial" w:hAnsi="Arial" w:cs="Arial"/>
          <w:sz w:val="20"/>
          <w:szCs w:val="20"/>
        </w:rPr>
        <w:t xml:space="preserve">National Disability Employment Strategy Consultation Paper </w:t>
      </w:r>
      <w:r w:rsidRPr="00826A9D">
        <w:rPr>
          <w:rFonts w:ascii="Arial" w:hAnsi="Arial" w:cs="Arial"/>
          <w:sz w:val="20"/>
          <w:szCs w:val="20"/>
        </w:rPr>
        <w:t xml:space="preserve">is informed by robust </w:t>
      </w:r>
      <w:r w:rsidR="00110519" w:rsidRPr="00826A9D">
        <w:rPr>
          <w:rFonts w:ascii="Arial" w:hAnsi="Arial" w:cs="Arial"/>
          <w:sz w:val="20"/>
          <w:szCs w:val="20"/>
        </w:rPr>
        <w:t>research</w:t>
      </w:r>
      <w:r w:rsidR="00B9168A" w:rsidRPr="00826A9D">
        <w:rPr>
          <w:rFonts w:ascii="Arial" w:hAnsi="Arial" w:cs="Arial"/>
          <w:sz w:val="20"/>
          <w:szCs w:val="20"/>
        </w:rPr>
        <w:t xml:space="preserve">, </w:t>
      </w:r>
      <w:r w:rsidRPr="00826A9D">
        <w:rPr>
          <w:rFonts w:ascii="Arial" w:hAnsi="Arial" w:cs="Arial"/>
          <w:sz w:val="20"/>
          <w:szCs w:val="20"/>
        </w:rPr>
        <w:t>relevant experience</w:t>
      </w:r>
      <w:r w:rsidR="00B9168A" w:rsidRPr="00826A9D">
        <w:rPr>
          <w:rFonts w:ascii="Arial" w:hAnsi="Arial" w:cs="Arial"/>
          <w:sz w:val="20"/>
          <w:szCs w:val="20"/>
        </w:rPr>
        <w:t xml:space="preserve">, and our </w:t>
      </w:r>
      <w:r w:rsidR="00DC4D88" w:rsidRPr="00826A9D">
        <w:rPr>
          <w:rFonts w:ascii="Arial" w:hAnsi="Arial" w:cs="Arial"/>
          <w:sz w:val="20"/>
          <w:szCs w:val="20"/>
        </w:rPr>
        <w:t xml:space="preserve">involvement in </w:t>
      </w:r>
      <w:r w:rsidR="00B9168A" w:rsidRPr="00826A9D">
        <w:rPr>
          <w:rFonts w:ascii="Arial" w:hAnsi="Arial" w:cs="Arial"/>
          <w:sz w:val="20"/>
          <w:szCs w:val="20"/>
        </w:rPr>
        <w:t xml:space="preserve">networks across academia, the public sector, the private sector, the non-for-profit sector, and people with disabilities and their families and carers. </w:t>
      </w:r>
      <w:r w:rsidR="00925C3E" w:rsidRPr="00826A9D">
        <w:rPr>
          <w:rFonts w:ascii="Arial" w:hAnsi="Arial" w:cs="Arial"/>
          <w:sz w:val="20"/>
          <w:szCs w:val="20"/>
        </w:rPr>
        <w:t>We have reviewed each of the priority areas and proposed actions</w:t>
      </w:r>
      <w:r w:rsidR="002B142B" w:rsidRPr="00826A9D">
        <w:rPr>
          <w:rFonts w:ascii="Arial" w:hAnsi="Arial" w:cs="Arial"/>
          <w:sz w:val="20"/>
          <w:szCs w:val="20"/>
        </w:rPr>
        <w:t xml:space="preserve"> </w:t>
      </w:r>
      <w:r w:rsidR="0012685E" w:rsidRPr="00826A9D">
        <w:rPr>
          <w:rFonts w:ascii="Arial" w:hAnsi="Arial" w:cs="Arial"/>
          <w:sz w:val="20"/>
          <w:szCs w:val="20"/>
        </w:rPr>
        <w:t xml:space="preserve">in the consultation paper </w:t>
      </w:r>
      <w:r w:rsidR="002B142B" w:rsidRPr="00826A9D">
        <w:rPr>
          <w:rFonts w:ascii="Arial" w:hAnsi="Arial" w:cs="Arial"/>
          <w:sz w:val="20"/>
          <w:szCs w:val="20"/>
        </w:rPr>
        <w:t>through that lens</w:t>
      </w:r>
      <w:r w:rsidR="00925C3E" w:rsidRPr="00826A9D">
        <w:rPr>
          <w:rFonts w:ascii="Arial" w:hAnsi="Arial" w:cs="Arial"/>
          <w:sz w:val="20"/>
          <w:szCs w:val="20"/>
        </w:rPr>
        <w:t xml:space="preserve">. </w:t>
      </w:r>
    </w:p>
    <w:p w14:paraId="4CAB4ADA" w14:textId="77777777" w:rsidR="00DC4D88" w:rsidRPr="00826A9D" w:rsidRDefault="00DC4D88" w:rsidP="00B9168A">
      <w:pPr>
        <w:spacing w:after="0" w:line="240" w:lineRule="auto"/>
        <w:jc w:val="both"/>
        <w:rPr>
          <w:rFonts w:ascii="Arial" w:hAnsi="Arial" w:cs="Arial"/>
          <w:sz w:val="20"/>
          <w:szCs w:val="20"/>
        </w:rPr>
      </w:pPr>
    </w:p>
    <w:p w14:paraId="225CD0CE" w14:textId="611A6541" w:rsidR="00925C3E" w:rsidRPr="00826A9D" w:rsidRDefault="00925C3E" w:rsidP="00B9168A">
      <w:pPr>
        <w:spacing w:after="0" w:line="240" w:lineRule="auto"/>
        <w:jc w:val="both"/>
        <w:rPr>
          <w:rFonts w:ascii="Arial" w:hAnsi="Arial" w:cs="Arial"/>
          <w:i/>
          <w:iCs/>
          <w:sz w:val="20"/>
          <w:szCs w:val="20"/>
        </w:rPr>
      </w:pPr>
      <w:r w:rsidRPr="00826A9D">
        <w:rPr>
          <w:rFonts w:ascii="Arial" w:hAnsi="Arial" w:cs="Arial"/>
          <w:sz w:val="20"/>
          <w:szCs w:val="20"/>
        </w:rPr>
        <w:t xml:space="preserve">Our response focuses on the question: </w:t>
      </w:r>
      <w:r w:rsidRPr="00826A9D">
        <w:rPr>
          <w:rFonts w:ascii="Arial" w:hAnsi="Arial" w:cs="Arial"/>
          <w:i/>
          <w:iCs/>
          <w:sz w:val="20"/>
          <w:szCs w:val="20"/>
        </w:rPr>
        <w:t xml:space="preserve">Do you have any feedback on the proposed vision or priority areas? </w:t>
      </w:r>
    </w:p>
    <w:p w14:paraId="246F4D10" w14:textId="77777777" w:rsidR="00925C3E" w:rsidRPr="00826A9D" w:rsidRDefault="00925C3E" w:rsidP="00B9168A">
      <w:pPr>
        <w:spacing w:after="0" w:line="240" w:lineRule="auto"/>
        <w:jc w:val="both"/>
        <w:rPr>
          <w:rFonts w:ascii="Arial" w:hAnsi="Arial" w:cs="Arial"/>
          <w:i/>
          <w:iCs/>
          <w:sz w:val="20"/>
          <w:szCs w:val="20"/>
        </w:rPr>
      </w:pPr>
    </w:p>
    <w:p w14:paraId="5FB44E7A" w14:textId="77777777" w:rsidR="00B9168A" w:rsidRPr="00826A9D" w:rsidRDefault="00B9168A">
      <w:pPr>
        <w:rPr>
          <w:rFonts w:ascii="Arial" w:hAnsi="Arial" w:cs="Arial"/>
          <w:b/>
          <w:bCs/>
          <w:sz w:val="20"/>
          <w:szCs w:val="20"/>
        </w:rPr>
      </w:pPr>
      <w:r w:rsidRPr="00826A9D">
        <w:rPr>
          <w:rFonts w:ascii="Arial" w:hAnsi="Arial" w:cs="Arial"/>
          <w:b/>
          <w:bCs/>
          <w:sz w:val="20"/>
          <w:szCs w:val="20"/>
        </w:rPr>
        <w:br w:type="page"/>
      </w:r>
    </w:p>
    <w:p w14:paraId="1BE9946F" w14:textId="1D11D721" w:rsidR="00B9168A" w:rsidRPr="00826A9D" w:rsidRDefault="00B9168A" w:rsidP="00A40335">
      <w:pPr>
        <w:pStyle w:val="Heading1"/>
      </w:pPr>
      <w:bookmarkStart w:id="5" w:name="_Toc71897320"/>
      <w:r w:rsidRPr="00826A9D">
        <w:lastRenderedPageBreak/>
        <w:t xml:space="preserve">Feedback on the proposed </w:t>
      </w:r>
      <w:r w:rsidR="00A40335">
        <w:t xml:space="preserve">vision and </w:t>
      </w:r>
      <w:r w:rsidRPr="00826A9D">
        <w:t>priority areas</w:t>
      </w:r>
      <w:bookmarkEnd w:id="5"/>
      <w:r w:rsidRPr="00826A9D">
        <w:t xml:space="preserve"> </w:t>
      </w:r>
    </w:p>
    <w:p w14:paraId="1960F61A" w14:textId="37CDF99F" w:rsidR="00A13BF5" w:rsidRPr="00826A9D" w:rsidRDefault="00A13BF5" w:rsidP="005E4956">
      <w:pPr>
        <w:spacing w:after="0" w:line="240" w:lineRule="auto"/>
        <w:jc w:val="both"/>
        <w:rPr>
          <w:rFonts w:ascii="Arial" w:hAnsi="Arial" w:cs="Arial"/>
          <w:b/>
          <w:bCs/>
          <w:sz w:val="20"/>
          <w:szCs w:val="20"/>
        </w:rPr>
      </w:pPr>
    </w:p>
    <w:p w14:paraId="615AB595" w14:textId="66889E25" w:rsidR="00A13BF5" w:rsidRPr="00826A9D" w:rsidRDefault="00A13BF5" w:rsidP="00A13BF5">
      <w:pPr>
        <w:spacing w:after="0" w:line="240" w:lineRule="auto"/>
        <w:rPr>
          <w:rFonts w:ascii="Arial" w:hAnsi="Arial" w:cs="Arial"/>
          <w:sz w:val="20"/>
          <w:szCs w:val="20"/>
        </w:rPr>
      </w:pPr>
      <w:r w:rsidRPr="00826A9D">
        <w:rPr>
          <w:rFonts w:ascii="Arial" w:hAnsi="Arial" w:cs="Arial"/>
          <w:sz w:val="20"/>
          <w:szCs w:val="20"/>
        </w:rPr>
        <w:t>(National Disability Employment Strategy Consultation Paper April 2021:6)</w:t>
      </w:r>
    </w:p>
    <w:p w14:paraId="4C194981" w14:textId="77777777" w:rsidR="00737D11" w:rsidRPr="00826A9D" w:rsidRDefault="00737D11" w:rsidP="005E4956">
      <w:pPr>
        <w:spacing w:after="0" w:line="240" w:lineRule="auto"/>
        <w:jc w:val="both"/>
        <w:rPr>
          <w:rFonts w:ascii="Arial" w:hAnsi="Arial" w:cs="Arial"/>
          <w:b/>
          <w:bCs/>
          <w:i/>
          <w:iCs/>
          <w:sz w:val="20"/>
          <w:szCs w:val="20"/>
        </w:rPr>
      </w:pPr>
    </w:p>
    <w:p w14:paraId="2031FDA2" w14:textId="6F9106B7" w:rsidR="00737D11" w:rsidRPr="00826A9D" w:rsidRDefault="00737D11" w:rsidP="00826A9D">
      <w:pPr>
        <w:tabs>
          <w:tab w:val="left" w:pos="6663"/>
        </w:tabs>
        <w:spacing w:after="0" w:line="240" w:lineRule="auto"/>
        <w:jc w:val="both"/>
        <w:rPr>
          <w:rFonts w:ascii="Arial" w:hAnsi="Arial" w:cs="Arial"/>
          <w:sz w:val="20"/>
          <w:szCs w:val="20"/>
        </w:rPr>
      </w:pPr>
      <w:r w:rsidRPr="00826A9D">
        <w:rPr>
          <w:rFonts w:ascii="Arial" w:hAnsi="Arial" w:cs="Arial"/>
          <w:noProof/>
          <w:sz w:val="20"/>
          <w:szCs w:val="20"/>
        </w:rPr>
        <w:drawing>
          <wp:inline distT="0" distB="0" distL="0" distR="0" wp14:anchorId="1FE94BA3" wp14:editId="0BA5518D">
            <wp:extent cx="5454650" cy="28575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2857500"/>
                    </a:xfrm>
                    <a:prstGeom prst="rect">
                      <a:avLst/>
                    </a:prstGeom>
                    <a:noFill/>
                    <a:ln w="19050">
                      <a:solidFill>
                        <a:schemeClr val="tx1"/>
                      </a:solidFill>
                    </a:ln>
                  </pic:spPr>
                </pic:pic>
              </a:graphicData>
            </a:graphic>
          </wp:inline>
        </w:drawing>
      </w:r>
    </w:p>
    <w:p w14:paraId="1B21B19C" w14:textId="77777777" w:rsidR="00A13BF5" w:rsidRPr="00826A9D" w:rsidRDefault="00A13BF5" w:rsidP="00826A9D">
      <w:pPr>
        <w:tabs>
          <w:tab w:val="left" w:pos="6663"/>
        </w:tabs>
        <w:spacing w:after="0" w:line="240" w:lineRule="auto"/>
        <w:jc w:val="right"/>
        <w:rPr>
          <w:rFonts w:ascii="Arial" w:hAnsi="Arial" w:cs="Arial"/>
          <w:sz w:val="20"/>
          <w:szCs w:val="20"/>
        </w:rPr>
      </w:pPr>
    </w:p>
    <w:p w14:paraId="4766CB63" w14:textId="40EEC2E2" w:rsidR="00CD7647" w:rsidRPr="00397F6E" w:rsidRDefault="00B93DE6" w:rsidP="00397F6E">
      <w:pPr>
        <w:pStyle w:val="Heading2"/>
      </w:pPr>
      <w:bookmarkStart w:id="6" w:name="_Toc71897321"/>
      <w:r w:rsidRPr="00397F6E">
        <w:t xml:space="preserve">Overarching feedback: </w:t>
      </w:r>
      <w:r w:rsidR="00CD7647" w:rsidRPr="00397F6E">
        <w:t>Looking back and looking forward</w:t>
      </w:r>
      <w:bookmarkEnd w:id="6"/>
    </w:p>
    <w:p w14:paraId="7716B109" w14:textId="77777777" w:rsidR="00CD7647" w:rsidRPr="00826A9D" w:rsidRDefault="00CD7647" w:rsidP="00826A9D">
      <w:pPr>
        <w:tabs>
          <w:tab w:val="left" w:pos="6663"/>
        </w:tabs>
        <w:spacing w:after="0" w:line="240" w:lineRule="auto"/>
        <w:jc w:val="both"/>
        <w:rPr>
          <w:rFonts w:ascii="Arial" w:hAnsi="Arial" w:cs="Arial"/>
          <w:sz w:val="20"/>
          <w:szCs w:val="20"/>
        </w:rPr>
      </w:pPr>
    </w:p>
    <w:p w14:paraId="20107C4E" w14:textId="31F2DA3B" w:rsidR="005E4956" w:rsidRPr="00826A9D" w:rsidRDefault="00B12DE1"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Australians</w:t>
      </w:r>
      <w:r w:rsidR="005E4956" w:rsidRPr="00826A9D">
        <w:rPr>
          <w:rFonts w:ascii="Arial" w:hAnsi="Arial" w:cs="Arial"/>
          <w:sz w:val="20"/>
          <w:szCs w:val="20"/>
        </w:rPr>
        <w:t xml:space="preserve"> with disability want to work.</w:t>
      </w:r>
      <w:r w:rsidR="005E4956" w:rsidRPr="00826A9D">
        <w:rPr>
          <w:rStyle w:val="FootnoteReference"/>
          <w:rFonts w:ascii="Arial" w:hAnsi="Arial" w:cs="Arial"/>
          <w:sz w:val="20"/>
          <w:szCs w:val="20"/>
        </w:rPr>
        <w:footnoteReference w:id="3"/>
      </w:r>
      <w:r w:rsidR="005E4956" w:rsidRPr="00826A9D">
        <w:rPr>
          <w:rFonts w:ascii="Arial" w:hAnsi="Arial" w:cs="Arial"/>
          <w:sz w:val="20"/>
          <w:szCs w:val="20"/>
        </w:rPr>
        <w:t xml:space="preserve"> </w:t>
      </w:r>
      <w:r w:rsidR="00D35C82" w:rsidRPr="00826A9D">
        <w:rPr>
          <w:rFonts w:ascii="Arial" w:hAnsi="Arial" w:cs="Arial"/>
          <w:sz w:val="20"/>
          <w:szCs w:val="20"/>
        </w:rPr>
        <w:t>Yet</w:t>
      </w:r>
      <w:r w:rsidR="00655A44" w:rsidRPr="00826A9D">
        <w:rPr>
          <w:rFonts w:ascii="Arial" w:hAnsi="Arial" w:cs="Arial"/>
          <w:sz w:val="20"/>
          <w:szCs w:val="20"/>
        </w:rPr>
        <w:t xml:space="preserve"> </w:t>
      </w:r>
      <w:r w:rsidR="007A5051" w:rsidRPr="00826A9D">
        <w:rPr>
          <w:rFonts w:ascii="Arial" w:hAnsi="Arial" w:cs="Arial"/>
          <w:sz w:val="20"/>
          <w:szCs w:val="20"/>
        </w:rPr>
        <w:t xml:space="preserve">despite </w:t>
      </w:r>
      <w:r w:rsidRPr="00826A9D">
        <w:rPr>
          <w:rFonts w:ascii="Arial" w:hAnsi="Arial" w:cs="Arial"/>
          <w:sz w:val="20"/>
          <w:szCs w:val="20"/>
        </w:rPr>
        <w:t xml:space="preserve">rolling </w:t>
      </w:r>
      <w:r w:rsidR="00110519" w:rsidRPr="00826A9D">
        <w:rPr>
          <w:rFonts w:ascii="Arial" w:hAnsi="Arial" w:cs="Arial"/>
          <w:sz w:val="20"/>
          <w:szCs w:val="20"/>
        </w:rPr>
        <w:t xml:space="preserve">reforms to </w:t>
      </w:r>
      <w:r w:rsidR="005E4956" w:rsidRPr="00826A9D">
        <w:rPr>
          <w:rFonts w:ascii="Arial" w:hAnsi="Arial" w:cs="Arial"/>
          <w:sz w:val="20"/>
          <w:szCs w:val="20"/>
        </w:rPr>
        <w:t>targeted initiatives and investment intended to build better pathways to work for them - underpinned by both rights-based and robust economic arguments –</w:t>
      </w:r>
      <w:r w:rsidR="007A5051" w:rsidRPr="00826A9D">
        <w:rPr>
          <w:rFonts w:ascii="Arial" w:hAnsi="Arial" w:cs="Arial"/>
          <w:sz w:val="20"/>
          <w:szCs w:val="20"/>
        </w:rPr>
        <w:t xml:space="preserve"> their </w:t>
      </w:r>
      <w:r w:rsidR="005E4956" w:rsidRPr="00826A9D">
        <w:rPr>
          <w:rFonts w:ascii="Arial" w:hAnsi="Arial" w:cs="Arial"/>
          <w:sz w:val="20"/>
          <w:szCs w:val="20"/>
        </w:rPr>
        <w:t xml:space="preserve">labour force participation rate </w:t>
      </w:r>
      <w:r w:rsidR="00636FA9" w:rsidRPr="00826A9D">
        <w:rPr>
          <w:rFonts w:ascii="Arial" w:hAnsi="Arial" w:cs="Arial"/>
          <w:sz w:val="20"/>
          <w:szCs w:val="20"/>
        </w:rPr>
        <w:t xml:space="preserve">has not increased </w:t>
      </w:r>
      <w:r w:rsidR="005E4956" w:rsidRPr="00826A9D">
        <w:rPr>
          <w:rFonts w:ascii="Arial" w:hAnsi="Arial" w:cs="Arial"/>
          <w:sz w:val="20"/>
          <w:szCs w:val="20"/>
        </w:rPr>
        <w:t>in a generation. The gap between the participation rate</w:t>
      </w:r>
      <w:r w:rsidR="00BA1944">
        <w:rPr>
          <w:rFonts w:ascii="Arial" w:hAnsi="Arial" w:cs="Arial"/>
          <w:sz w:val="20"/>
          <w:szCs w:val="20"/>
        </w:rPr>
        <w:t>s</w:t>
      </w:r>
      <w:r w:rsidR="005E4956" w:rsidRPr="00826A9D">
        <w:rPr>
          <w:rFonts w:ascii="Arial" w:hAnsi="Arial" w:cs="Arial"/>
          <w:sz w:val="20"/>
          <w:szCs w:val="20"/>
        </w:rPr>
        <w:t xml:space="preserve"> of Australians with disability and Australians without disability </w:t>
      </w:r>
      <w:r w:rsidR="00CC1B0B" w:rsidRPr="00826A9D">
        <w:rPr>
          <w:rFonts w:ascii="Arial" w:hAnsi="Arial" w:cs="Arial"/>
          <w:sz w:val="20"/>
          <w:szCs w:val="20"/>
        </w:rPr>
        <w:t xml:space="preserve">widened </w:t>
      </w:r>
      <w:r w:rsidR="005E4956" w:rsidRPr="00826A9D">
        <w:rPr>
          <w:rFonts w:ascii="Arial" w:hAnsi="Arial" w:cs="Arial"/>
          <w:sz w:val="20"/>
          <w:szCs w:val="20"/>
        </w:rPr>
        <w:t>between 1993 and 2018</w:t>
      </w:r>
      <w:r w:rsidR="00BA1944">
        <w:rPr>
          <w:rFonts w:ascii="Arial" w:hAnsi="Arial" w:cs="Arial"/>
          <w:sz w:val="20"/>
          <w:szCs w:val="20"/>
        </w:rPr>
        <w:t xml:space="preserve"> from 21.9% to 29.7%</w:t>
      </w:r>
      <w:r w:rsidR="005E4956" w:rsidRPr="00826A9D">
        <w:rPr>
          <w:rFonts w:ascii="Arial" w:hAnsi="Arial" w:cs="Arial"/>
          <w:sz w:val="20"/>
          <w:szCs w:val="20"/>
        </w:rPr>
        <w:t>,</w:t>
      </w:r>
      <w:r w:rsidR="00FC04D0" w:rsidRPr="00826A9D">
        <w:rPr>
          <w:rStyle w:val="FootnoteReference"/>
          <w:rFonts w:ascii="Arial" w:hAnsi="Arial" w:cs="Arial"/>
          <w:sz w:val="20"/>
          <w:szCs w:val="20"/>
        </w:rPr>
        <w:footnoteReference w:id="4"/>
      </w:r>
      <w:r w:rsidR="005E4956" w:rsidRPr="00826A9D">
        <w:rPr>
          <w:rFonts w:ascii="Arial" w:hAnsi="Arial" w:cs="Arial"/>
          <w:sz w:val="20"/>
          <w:szCs w:val="20"/>
        </w:rPr>
        <w:t xml:space="preserve"> </w:t>
      </w:r>
      <w:r w:rsidR="00636FA9" w:rsidRPr="00826A9D">
        <w:rPr>
          <w:rFonts w:ascii="Arial" w:hAnsi="Arial" w:cs="Arial"/>
          <w:sz w:val="20"/>
          <w:szCs w:val="20"/>
        </w:rPr>
        <w:t>in spite of a shift to</w:t>
      </w:r>
      <w:r w:rsidR="005E4956" w:rsidRPr="00826A9D">
        <w:rPr>
          <w:rFonts w:ascii="Arial" w:hAnsi="Arial" w:cs="Arial"/>
          <w:sz w:val="20"/>
          <w:szCs w:val="20"/>
        </w:rPr>
        <w:t xml:space="preserve"> a more service-oriented economy </w:t>
      </w:r>
      <w:r w:rsidR="00CC1B0B" w:rsidRPr="00826A9D">
        <w:rPr>
          <w:rFonts w:ascii="Arial" w:hAnsi="Arial" w:cs="Arial"/>
          <w:sz w:val="20"/>
          <w:szCs w:val="20"/>
        </w:rPr>
        <w:t xml:space="preserve">that </w:t>
      </w:r>
      <w:r w:rsidR="00430D5E" w:rsidRPr="00826A9D">
        <w:rPr>
          <w:rFonts w:ascii="Arial" w:hAnsi="Arial" w:cs="Arial"/>
          <w:sz w:val="20"/>
          <w:szCs w:val="20"/>
        </w:rPr>
        <w:t xml:space="preserve">presented an opportunity to </w:t>
      </w:r>
      <w:r w:rsidR="005E4956" w:rsidRPr="00826A9D">
        <w:rPr>
          <w:rFonts w:ascii="Arial" w:hAnsi="Arial" w:cs="Arial"/>
          <w:sz w:val="20"/>
          <w:szCs w:val="20"/>
        </w:rPr>
        <w:t>narrow that gap.</w:t>
      </w:r>
      <w:r w:rsidR="00C13F9E" w:rsidRPr="00826A9D">
        <w:rPr>
          <w:rFonts w:ascii="Arial" w:hAnsi="Arial" w:cs="Arial"/>
          <w:sz w:val="20"/>
          <w:szCs w:val="20"/>
        </w:rPr>
        <w:t xml:space="preserve"> </w:t>
      </w:r>
      <w:r w:rsidR="00010045" w:rsidRPr="00826A9D">
        <w:rPr>
          <w:rFonts w:ascii="Arial" w:hAnsi="Arial" w:cs="Arial"/>
          <w:sz w:val="20"/>
          <w:szCs w:val="20"/>
        </w:rPr>
        <w:t>T</w:t>
      </w:r>
      <w:r w:rsidR="00C13F9E" w:rsidRPr="00826A9D">
        <w:rPr>
          <w:rFonts w:ascii="Arial" w:hAnsi="Arial" w:cs="Arial"/>
          <w:sz w:val="20"/>
          <w:szCs w:val="20"/>
        </w:rPr>
        <w:t>he discr</w:t>
      </w:r>
      <w:r w:rsidR="00CE5E14" w:rsidRPr="00826A9D">
        <w:rPr>
          <w:rFonts w:ascii="Arial" w:hAnsi="Arial" w:cs="Arial"/>
          <w:sz w:val="20"/>
          <w:szCs w:val="20"/>
        </w:rPr>
        <w:t xml:space="preserve">epancy in the employment rate </w:t>
      </w:r>
      <w:r w:rsidR="00822A15" w:rsidRPr="00826A9D">
        <w:rPr>
          <w:rFonts w:ascii="Arial" w:hAnsi="Arial" w:cs="Arial"/>
          <w:sz w:val="20"/>
          <w:szCs w:val="20"/>
        </w:rPr>
        <w:t>was</w:t>
      </w:r>
      <w:r w:rsidR="00A900D3" w:rsidRPr="00826A9D">
        <w:rPr>
          <w:rFonts w:ascii="Arial" w:hAnsi="Arial" w:cs="Arial"/>
          <w:sz w:val="20"/>
          <w:szCs w:val="20"/>
        </w:rPr>
        <w:t xml:space="preserve"> </w:t>
      </w:r>
      <w:r w:rsidR="00CE5E14" w:rsidRPr="00826A9D">
        <w:rPr>
          <w:rFonts w:ascii="Arial" w:hAnsi="Arial" w:cs="Arial"/>
          <w:sz w:val="20"/>
          <w:szCs w:val="20"/>
        </w:rPr>
        <w:t xml:space="preserve">even more </w:t>
      </w:r>
      <w:r w:rsidR="00F25FD6" w:rsidRPr="00826A9D">
        <w:rPr>
          <w:rFonts w:ascii="Arial" w:hAnsi="Arial" w:cs="Arial"/>
          <w:sz w:val="20"/>
          <w:szCs w:val="20"/>
        </w:rPr>
        <w:t>pronounced</w:t>
      </w:r>
      <w:r w:rsidR="00CE5E14" w:rsidRPr="00826A9D">
        <w:rPr>
          <w:rFonts w:ascii="Arial" w:hAnsi="Arial" w:cs="Arial"/>
          <w:sz w:val="20"/>
          <w:szCs w:val="20"/>
        </w:rPr>
        <w:t>.</w:t>
      </w:r>
      <w:r w:rsidR="00CE5E14" w:rsidRPr="00826A9D">
        <w:rPr>
          <w:rStyle w:val="FootnoteReference"/>
          <w:rFonts w:ascii="Arial" w:hAnsi="Arial" w:cs="Arial"/>
          <w:sz w:val="20"/>
          <w:szCs w:val="20"/>
        </w:rPr>
        <w:footnoteReference w:id="5"/>
      </w:r>
      <w:r w:rsidR="00C13F9E" w:rsidRPr="00826A9D">
        <w:rPr>
          <w:rFonts w:ascii="Arial" w:hAnsi="Arial" w:cs="Arial"/>
          <w:sz w:val="20"/>
          <w:szCs w:val="20"/>
        </w:rPr>
        <w:t xml:space="preserve"> </w:t>
      </w:r>
    </w:p>
    <w:p w14:paraId="2CD5AF79" w14:textId="1CB97DA4" w:rsidR="005E4956" w:rsidRPr="00826A9D" w:rsidRDefault="005E4956" w:rsidP="00826A9D">
      <w:pPr>
        <w:tabs>
          <w:tab w:val="left" w:pos="6663"/>
        </w:tabs>
        <w:spacing w:after="0" w:line="240" w:lineRule="auto"/>
        <w:jc w:val="both"/>
        <w:rPr>
          <w:rFonts w:ascii="Arial" w:hAnsi="Arial" w:cs="Arial"/>
          <w:sz w:val="20"/>
          <w:szCs w:val="20"/>
        </w:rPr>
      </w:pPr>
    </w:p>
    <w:p w14:paraId="54605223" w14:textId="5A62030C" w:rsidR="005E4956" w:rsidRPr="00826A9D" w:rsidRDefault="005E4956"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As COVID-19 disrupts and reshapes </w:t>
      </w:r>
      <w:r w:rsidR="00CC1B0B" w:rsidRPr="00826A9D">
        <w:rPr>
          <w:rFonts w:ascii="Arial" w:hAnsi="Arial" w:cs="Arial"/>
          <w:sz w:val="20"/>
          <w:szCs w:val="20"/>
        </w:rPr>
        <w:t xml:space="preserve">the </w:t>
      </w:r>
      <w:r w:rsidRPr="00826A9D">
        <w:rPr>
          <w:rFonts w:ascii="Arial" w:hAnsi="Arial" w:cs="Arial"/>
          <w:sz w:val="20"/>
          <w:szCs w:val="20"/>
        </w:rPr>
        <w:t xml:space="preserve">labour market, there is a risk that both the labour force participation rate and the employment rate for Australians with disability will fall. </w:t>
      </w:r>
      <w:r w:rsidR="00D35C82" w:rsidRPr="00826A9D">
        <w:rPr>
          <w:rFonts w:ascii="Arial" w:hAnsi="Arial" w:cs="Arial"/>
          <w:sz w:val="20"/>
          <w:szCs w:val="20"/>
        </w:rPr>
        <w:t>Huge</w:t>
      </w:r>
      <w:r w:rsidR="005C7E68" w:rsidRPr="00826A9D">
        <w:rPr>
          <w:rFonts w:ascii="Arial" w:hAnsi="Arial" w:cs="Arial"/>
          <w:sz w:val="20"/>
          <w:szCs w:val="20"/>
        </w:rPr>
        <w:t xml:space="preserve"> </w:t>
      </w:r>
      <w:r w:rsidR="00AE1AB2" w:rsidRPr="00826A9D">
        <w:rPr>
          <w:rFonts w:ascii="Arial" w:hAnsi="Arial" w:cs="Arial"/>
          <w:sz w:val="20"/>
          <w:szCs w:val="20"/>
        </w:rPr>
        <w:t>strides have been made in flexible approaches to work</w:t>
      </w:r>
      <w:r w:rsidR="00010045" w:rsidRPr="00826A9D">
        <w:rPr>
          <w:rFonts w:ascii="Arial" w:hAnsi="Arial" w:cs="Arial"/>
          <w:sz w:val="20"/>
          <w:szCs w:val="20"/>
        </w:rPr>
        <w:t xml:space="preserve"> over the last year</w:t>
      </w:r>
      <w:r w:rsidR="00AE1AB2" w:rsidRPr="00826A9D">
        <w:rPr>
          <w:rFonts w:ascii="Arial" w:hAnsi="Arial" w:cs="Arial"/>
          <w:sz w:val="20"/>
          <w:szCs w:val="20"/>
        </w:rPr>
        <w:t xml:space="preserve">, presenting </w:t>
      </w:r>
      <w:r w:rsidR="00C628BF" w:rsidRPr="00826A9D">
        <w:rPr>
          <w:rFonts w:ascii="Arial" w:hAnsi="Arial" w:cs="Arial"/>
          <w:sz w:val="20"/>
          <w:szCs w:val="20"/>
        </w:rPr>
        <w:t>new opportunities for people with disability to access employment</w:t>
      </w:r>
      <w:r w:rsidR="00BA1944">
        <w:rPr>
          <w:rFonts w:ascii="Arial" w:hAnsi="Arial" w:cs="Arial"/>
          <w:sz w:val="20"/>
          <w:szCs w:val="20"/>
        </w:rPr>
        <w:t xml:space="preserve"> more readily</w:t>
      </w:r>
      <w:r w:rsidR="008C22E2" w:rsidRPr="00826A9D">
        <w:rPr>
          <w:rFonts w:ascii="Arial" w:hAnsi="Arial" w:cs="Arial"/>
          <w:sz w:val="20"/>
          <w:szCs w:val="20"/>
        </w:rPr>
        <w:t>. However, r</w:t>
      </w:r>
      <w:r w:rsidR="00A3559D" w:rsidRPr="00826A9D">
        <w:rPr>
          <w:rFonts w:ascii="Arial" w:hAnsi="Arial" w:cs="Arial"/>
          <w:sz w:val="20"/>
          <w:szCs w:val="20"/>
        </w:rPr>
        <w:t xml:space="preserve">esearch and numerous government inquiries have revealed that even in times of skill and labour shortages, </w:t>
      </w:r>
      <w:r w:rsidR="005C7E68" w:rsidRPr="00826A9D">
        <w:rPr>
          <w:rFonts w:ascii="Arial" w:hAnsi="Arial" w:cs="Arial"/>
          <w:sz w:val="20"/>
          <w:szCs w:val="20"/>
        </w:rPr>
        <w:t xml:space="preserve">with support and incentives available to potential employers, </w:t>
      </w:r>
      <w:r w:rsidR="00A3559D" w:rsidRPr="00826A9D">
        <w:rPr>
          <w:rFonts w:ascii="Arial" w:hAnsi="Arial" w:cs="Arial"/>
          <w:sz w:val="20"/>
          <w:szCs w:val="20"/>
        </w:rPr>
        <w:t xml:space="preserve">people with disability </w:t>
      </w:r>
      <w:r w:rsidR="005C7E68" w:rsidRPr="00826A9D">
        <w:rPr>
          <w:rFonts w:ascii="Arial" w:hAnsi="Arial" w:cs="Arial"/>
          <w:sz w:val="20"/>
          <w:szCs w:val="20"/>
        </w:rPr>
        <w:t>struggle to find work.</w:t>
      </w:r>
      <w:r w:rsidR="00A3559D" w:rsidRPr="00826A9D">
        <w:rPr>
          <w:rStyle w:val="FootnoteReference"/>
          <w:rFonts w:ascii="Arial" w:hAnsi="Arial" w:cs="Arial"/>
          <w:sz w:val="20"/>
          <w:szCs w:val="20"/>
        </w:rPr>
        <w:footnoteReference w:id="6"/>
      </w:r>
      <w:r w:rsidR="00A3559D" w:rsidRPr="00826A9D">
        <w:rPr>
          <w:rFonts w:ascii="Arial" w:hAnsi="Arial" w:cs="Arial"/>
          <w:sz w:val="20"/>
          <w:szCs w:val="20"/>
        </w:rPr>
        <w:t xml:space="preserve"> </w:t>
      </w:r>
      <w:r w:rsidR="00C628BF" w:rsidRPr="00826A9D">
        <w:rPr>
          <w:rFonts w:ascii="Arial" w:hAnsi="Arial" w:cs="Arial"/>
          <w:sz w:val="20"/>
          <w:szCs w:val="20"/>
        </w:rPr>
        <w:t xml:space="preserve">For many, </w:t>
      </w:r>
      <w:r w:rsidR="00CC1B0B" w:rsidRPr="00826A9D">
        <w:rPr>
          <w:rFonts w:ascii="Arial" w:hAnsi="Arial" w:cs="Arial"/>
          <w:sz w:val="20"/>
          <w:szCs w:val="20"/>
        </w:rPr>
        <w:t xml:space="preserve">the pandemic will </w:t>
      </w:r>
      <w:r w:rsidR="005C209B" w:rsidRPr="00826A9D">
        <w:rPr>
          <w:rFonts w:ascii="Arial" w:hAnsi="Arial" w:cs="Arial"/>
          <w:sz w:val="20"/>
          <w:szCs w:val="20"/>
        </w:rPr>
        <w:t>exacerbate</w:t>
      </w:r>
      <w:r w:rsidR="00CC1B0B" w:rsidRPr="00826A9D">
        <w:rPr>
          <w:rFonts w:ascii="Arial" w:hAnsi="Arial" w:cs="Arial"/>
          <w:sz w:val="20"/>
          <w:szCs w:val="20"/>
        </w:rPr>
        <w:t xml:space="preserve"> existing health and economic vulnerabilities. </w:t>
      </w:r>
      <w:r w:rsidR="00D35C82" w:rsidRPr="00826A9D">
        <w:rPr>
          <w:rFonts w:ascii="Arial" w:hAnsi="Arial" w:cs="Arial"/>
          <w:sz w:val="20"/>
          <w:szCs w:val="20"/>
        </w:rPr>
        <w:t>And as competition for entry-level employment ramps up, e</w:t>
      </w:r>
      <w:r w:rsidRPr="00826A9D">
        <w:rPr>
          <w:rFonts w:ascii="Arial" w:hAnsi="Arial" w:cs="Arial"/>
          <w:sz w:val="20"/>
          <w:szCs w:val="20"/>
        </w:rPr>
        <w:t xml:space="preserve">arly exclusion from employment for young people with disability </w:t>
      </w:r>
      <w:r w:rsidR="006D7776" w:rsidRPr="00826A9D">
        <w:rPr>
          <w:rFonts w:ascii="Arial" w:hAnsi="Arial" w:cs="Arial"/>
          <w:sz w:val="20"/>
          <w:szCs w:val="20"/>
        </w:rPr>
        <w:t>may</w:t>
      </w:r>
      <w:r w:rsidRPr="00826A9D">
        <w:rPr>
          <w:rFonts w:ascii="Arial" w:hAnsi="Arial" w:cs="Arial"/>
          <w:sz w:val="20"/>
          <w:szCs w:val="20"/>
        </w:rPr>
        <w:t xml:space="preserve"> have lifelong consequences</w:t>
      </w:r>
      <w:r w:rsidR="00010045" w:rsidRPr="00826A9D">
        <w:rPr>
          <w:rFonts w:ascii="Arial" w:hAnsi="Arial" w:cs="Arial"/>
          <w:sz w:val="20"/>
          <w:szCs w:val="20"/>
        </w:rPr>
        <w:t xml:space="preserve">. </w:t>
      </w:r>
    </w:p>
    <w:p w14:paraId="537BE21A" w14:textId="529DDD2E" w:rsidR="005E4956" w:rsidRPr="00826A9D" w:rsidRDefault="005E4956" w:rsidP="00826A9D">
      <w:pPr>
        <w:tabs>
          <w:tab w:val="left" w:pos="6663"/>
        </w:tabs>
        <w:spacing w:after="0" w:line="240" w:lineRule="auto"/>
        <w:jc w:val="both"/>
        <w:rPr>
          <w:rFonts w:ascii="Arial" w:hAnsi="Arial" w:cs="Arial"/>
          <w:sz w:val="20"/>
          <w:szCs w:val="20"/>
        </w:rPr>
      </w:pPr>
    </w:p>
    <w:p w14:paraId="66D8CFD0" w14:textId="77777777" w:rsidR="0008505E" w:rsidRDefault="0008505E" w:rsidP="00826A9D">
      <w:pPr>
        <w:tabs>
          <w:tab w:val="left" w:pos="6663"/>
        </w:tabs>
        <w:spacing w:after="0" w:line="240" w:lineRule="auto"/>
        <w:jc w:val="both"/>
        <w:rPr>
          <w:rFonts w:ascii="Arial" w:hAnsi="Arial" w:cs="Arial"/>
          <w:sz w:val="20"/>
          <w:szCs w:val="20"/>
        </w:rPr>
      </w:pPr>
    </w:p>
    <w:p w14:paraId="597BEBCC" w14:textId="7A31E2DA" w:rsidR="003944F0" w:rsidRPr="00826A9D" w:rsidRDefault="006D7776"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We </w:t>
      </w:r>
      <w:r w:rsidR="00655A44" w:rsidRPr="00826A9D">
        <w:rPr>
          <w:rFonts w:ascii="Arial" w:hAnsi="Arial" w:cs="Arial"/>
          <w:sz w:val="20"/>
          <w:szCs w:val="20"/>
        </w:rPr>
        <w:t>applaud</w:t>
      </w:r>
      <w:r w:rsidRPr="00826A9D">
        <w:rPr>
          <w:rFonts w:ascii="Arial" w:hAnsi="Arial" w:cs="Arial"/>
          <w:sz w:val="20"/>
          <w:szCs w:val="20"/>
        </w:rPr>
        <w:t xml:space="preserve"> the Australian Government’s </w:t>
      </w:r>
      <w:r w:rsidR="00655A44" w:rsidRPr="00826A9D">
        <w:rPr>
          <w:rFonts w:ascii="Arial" w:hAnsi="Arial" w:cs="Arial"/>
          <w:sz w:val="20"/>
          <w:szCs w:val="20"/>
        </w:rPr>
        <w:t xml:space="preserve">commitment </w:t>
      </w:r>
      <w:r w:rsidRPr="00826A9D">
        <w:rPr>
          <w:rFonts w:ascii="Arial" w:hAnsi="Arial" w:cs="Arial"/>
          <w:sz w:val="20"/>
          <w:szCs w:val="20"/>
        </w:rPr>
        <w:t>to turn</w:t>
      </w:r>
      <w:r w:rsidR="00802775" w:rsidRPr="00826A9D">
        <w:rPr>
          <w:rFonts w:ascii="Arial" w:hAnsi="Arial" w:cs="Arial"/>
          <w:sz w:val="20"/>
          <w:szCs w:val="20"/>
        </w:rPr>
        <w:t>ing</w:t>
      </w:r>
      <w:r w:rsidRPr="00826A9D">
        <w:rPr>
          <w:rFonts w:ascii="Arial" w:hAnsi="Arial" w:cs="Arial"/>
          <w:sz w:val="20"/>
          <w:szCs w:val="20"/>
        </w:rPr>
        <w:t xml:space="preserve"> the tide on employment for people with disability. </w:t>
      </w:r>
      <w:r w:rsidR="00DD0D10" w:rsidRPr="00826A9D">
        <w:rPr>
          <w:rFonts w:ascii="Arial" w:hAnsi="Arial" w:cs="Arial"/>
          <w:sz w:val="20"/>
          <w:szCs w:val="20"/>
        </w:rPr>
        <w:t xml:space="preserve">Each of the </w:t>
      </w:r>
      <w:r w:rsidR="009D614B" w:rsidRPr="00826A9D">
        <w:rPr>
          <w:rFonts w:ascii="Arial" w:hAnsi="Arial" w:cs="Arial"/>
          <w:sz w:val="20"/>
          <w:szCs w:val="20"/>
        </w:rPr>
        <w:t xml:space="preserve">proposed </w:t>
      </w:r>
      <w:r w:rsidR="00DD0D10" w:rsidRPr="00826A9D">
        <w:rPr>
          <w:rFonts w:ascii="Arial" w:hAnsi="Arial" w:cs="Arial"/>
          <w:sz w:val="20"/>
          <w:szCs w:val="20"/>
        </w:rPr>
        <w:t xml:space="preserve">priority areas in the National Disability Employment Strategy consultation paper has a part to play in that, but they </w:t>
      </w:r>
      <w:r w:rsidR="009D614B" w:rsidRPr="00826A9D">
        <w:rPr>
          <w:rFonts w:ascii="Arial" w:hAnsi="Arial" w:cs="Arial"/>
          <w:sz w:val="20"/>
          <w:szCs w:val="20"/>
        </w:rPr>
        <w:t xml:space="preserve">are not enough. </w:t>
      </w:r>
      <w:r w:rsidR="00DD0D10" w:rsidRPr="00826A9D">
        <w:rPr>
          <w:rFonts w:ascii="Arial" w:hAnsi="Arial" w:cs="Arial"/>
          <w:sz w:val="20"/>
          <w:szCs w:val="20"/>
        </w:rPr>
        <w:t>T</w:t>
      </w:r>
      <w:r w:rsidRPr="00826A9D">
        <w:rPr>
          <w:rFonts w:ascii="Arial" w:hAnsi="Arial" w:cs="Arial"/>
          <w:sz w:val="20"/>
          <w:szCs w:val="20"/>
        </w:rPr>
        <w:t>he</w:t>
      </w:r>
      <w:r w:rsidR="00DD0D10" w:rsidRPr="00826A9D">
        <w:rPr>
          <w:rFonts w:ascii="Arial" w:hAnsi="Arial" w:cs="Arial"/>
          <w:sz w:val="20"/>
          <w:szCs w:val="20"/>
        </w:rPr>
        <w:t xml:space="preserve"> paper does </w:t>
      </w:r>
      <w:r w:rsidR="00CC1B0B" w:rsidRPr="00826A9D">
        <w:rPr>
          <w:rFonts w:ascii="Arial" w:hAnsi="Arial" w:cs="Arial"/>
          <w:sz w:val="20"/>
          <w:szCs w:val="20"/>
        </w:rPr>
        <w:t xml:space="preserve">not </w:t>
      </w:r>
      <w:r w:rsidR="005E4956" w:rsidRPr="00826A9D">
        <w:rPr>
          <w:rFonts w:ascii="Arial" w:hAnsi="Arial" w:cs="Arial"/>
          <w:sz w:val="20"/>
          <w:szCs w:val="20"/>
        </w:rPr>
        <w:t>address the compounding disadvantage of jobseekers with disability in the current health and economic climate</w:t>
      </w:r>
      <w:r w:rsidR="005412F1" w:rsidRPr="00826A9D">
        <w:rPr>
          <w:rFonts w:ascii="Arial" w:hAnsi="Arial" w:cs="Arial"/>
          <w:sz w:val="20"/>
          <w:szCs w:val="20"/>
        </w:rPr>
        <w:t xml:space="preserve">. </w:t>
      </w:r>
      <w:r w:rsidR="007C122B" w:rsidRPr="00826A9D">
        <w:rPr>
          <w:rFonts w:ascii="Arial" w:hAnsi="Arial" w:cs="Arial"/>
          <w:sz w:val="20"/>
          <w:szCs w:val="20"/>
        </w:rPr>
        <w:t xml:space="preserve">It </w:t>
      </w:r>
      <w:r w:rsidR="005412F1" w:rsidRPr="00826A9D">
        <w:rPr>
          <w:rFonts w:ascii="Arial" w:hAnsi="Arial" w:cs="Arial"/>
          <w:sz w:val="20"/>
          <w:szCs w:val="20"/>
        </w:rPr>
        <w:t xml:space="preserve">does not acknowledge the competing priorities of </w:t>
      </w:r>
      <w:r w:rsidR="005E4956" w:rsidRPr="00826A9D">
        <w:rPr>
          <w:rFonts w:ascii="Arial" w:hAnsi="Arial" w:cs="Arial"/>
          <w:sz w:val="20"/>
          <w:szCs w:val="20"/>
        </w:rPr>
        <w:t xml:space="preserve">strategies to address unemployment for </w:t>
      </w:r>
      <w:r w:rsidR="005412F1" w:rsidRPr="00826A9D">
        <w:rPr>
          <w:rFonts w:ascii="Arial" w:hAnsi="Arial" w:cs="Arial"/>
          <w:sz w:val="20"/>
          <w:szCs w:val="20"/>
        </w:rPr>
        <w:t xml:space="preserve">people with disability and </w:t>
      </w:r>
      <w:r w:rsidR="005E4956" w:rsidRPr="00826A9D">
        <w:rPr>
          <w:rFonts w:ascii="Arial" w:hAnsi="Arial" w:cs="Arial"/>
          <w:sz w:val="20"/>
          <w:szCs w:val="20"/>
        </w:rPr>
        <w:t>other groups of disadvantaged jobseekers in the wake of the pandemic</w:t>
      </w:r>
      <w:r w:rsidR="005412F1" w:rsidRPr="00826A9D">
        <w:rPr>
          <w:rFonts w:ascii="Arial" w:hAnsi="Arial" w:cs="Arial"/>
          <w:sz w:val="20"/>
          <w:szCs w:val="20"/>
        </w:rPr>
        <w:t>, which w</w:t>
      </w:r>
      <w:r w:rsidR="005E4956" w:rsidRPr="00826A9D">
        <w:rPr>
          <w:rFonts w:ascii="Arial" w:hAnsi="Arial" w:cs="Arial"/>
          <w:sz w:val="20"/>
          <w:szCs w:val="20"/>
        </w:rPr>
        <w:t xml:space="preserve">ill leave them </w:t>
      </w:r>
      <w:r w:rsidR="00755299" w:rsidRPr="00826A9D">
        <w:rPr>
          <w:rFonts w:ascii="Arial" w:hAnsi="Arial" w:cs="Arial"/>
          <w:sz w:val="20"/>
          <w:szCs w:val="20"/>
        </w:rPr>
        <w:t>jostling w</w:t>
      </w:r>
      <w:r w:rsidR="005E4956" w:rsidRPr="00826A9D">
        <w:rPr>
          <w:rFonts w:ascii="Arial" w:hAnsi="Arial" w:cs="Arial"/>
          <w:sz w:val="20"/>
          <w:szCs w:val="20"/>
        </w:rPr>
        <w:t>ith each other</w:t>
      </w:r>
      <w:r w:rsidR="00755299" w:rsidRPr="00826A9D">
        <w:rPr>
          <w:rFonts w:ascii="Arial" w:hAnsi="Arial" w:cs="Arial"/>
          <w:sz w:val="20"/>
          <w:szCs w:val="20"/>
        </w:rPr>
        <w:t xml:space="preserve">, and with newly unemployed people, </w:t>
      </w:r>
      <w:r w:rsidR="005E4956" w:rsidRPr="00826A9D">
        <w:rPr>
          <w:rFonts w:ascii="Arial" w:hAnsi="Arial" w:cs="Arial"/>
          <w:sz w:val="20"/>
          <w:szCs w:val="20"/>
        </w:rPr>
        <w:t xml:space="preserve">for employer’s attention. </w:t>
      </w:r>
      <w:r w:rsidR="007C122B" w:rsidRPr="00826A9D">
        <w:rPr>
          <w:rFonts w:ascii="Arial" w:hAnsi="Arial" w:cs="Arial"/>
          <w:sz w:val="20"/>
          <w:szCs w:val="20"/>
        </w:rPr>
        <w:t xml:space="preserve">More importantly, it does not propose any </w:t>
      </w:r>
      <w:r w:rsidR="003D4F78" w:rsidRPr="00826A9D">
        <w:rPr>
          <w:rFonts w:ascii="Arial" w:hAnsi="Arial" w:cs="Arial"/>
          <w:sz w:val="20"/>
          <w:szCs w:val="20"/>
        </w:rPr>
        <w:t xml:space="preserve">steps </w:t>
      </w:r>
      <w:r w:rsidR="007C122B" w:rsidRPr="00826A9D">
        <w:rPr>
          <w:rFonts w:ascii="Arial" w:hAnsi="Arial" w:cs="Arial"/>
          <w:sz w:val="20"/>
          <w:szCs w:val="20"/>
        </w:rPr>
        <w:t xml:space="preserve">to ensure that people with disability </w:t>
      </w:r>
      <w:r w:rsidR="00BA1944">
        <w:rPr>
          <w:rFonts w:ascii="Arial" w:hAnsi="Arial" w:cs="Arial"/>
          <w:sz w:val="20"/>
          <w:szCs w:val="20"/>
        </w:rPr>
        <w:t>have the opportunity to be</w:t>
      </w:r>
      <w:r w:rsidR="00BA1944" w:rsidRPr="00826A9D">
        <w:rPr>
          <w:rFonts w:ascii="Arial" w:hAnsi="Arial" w:cs="Arial"/>
          <w:sz w:val="20"/>
          <w:szCs w:val="20"/>
        </w:rPr>
        <w:t xml:space="preserve"> </w:t>
      </w:r>
      <w:r w:rsidR="007C122B" w:rsidRPr="00826A9D">
        <w:rPr>
          <w:rFonts w:ascii="Arial" w:hAnsi="Arial" w:cs="Arial"/>
          <w:sz w:val="20"/>
          <w:szCs w:val="20"/>
        </w:rPr>
        <w:t xml:space="preserve">included in plans </w:t>
      </w:r>
      <w:r w:rsidR="00BA1944">
        <w:rPr>
          <w:rFonts w:ascii="Arial" w:hAnsi="Arial" w:cs="Arial"/>
          <w:sz w:val="20"/>
          <w:szCs w:val="20"/>
        </w:rPr>
        <w:t>to drive unemployment to below 5%</w:t>
      </w:r>
      <w:r w:rsidR="007C122B" w:rsidRPr="00826A9D">
        <w:rPr>
          <w:rFonts w:ascii="Arial" w:hAnsi="Arial" w:cs="Arial"/>
          <w:sz w:val="20"/>
          <w:szCs w:val="20"/>
        </w:rPr>
        <w:t xml:space="preserve"> post-COVID-19.</w:t>
      </w:r>
    </w:p>
    <w:p w14:paraId="3D061B25" w14:textId="2E4C1D81" w:rsidR="00A900D3" w:rsidRPr="00826A9D" w:rsidRDefault="00A900D3" w:rsidP="00826A9D">
      <w:pPr>
        <w:tabs>
          <w:tab w:val="left" w:pos="6663"/>
        </w:tabs>
        <w:spacing w:after="0" w:line="240" w:lineRule="auto"/>
        <w:jc w:val="both"/>
        <w:rPr>
          <w:rFonts w:ascii="Arial" w:hAnsi="Arial" w:cs="Arial"/>
          <w:sz w:val="20"/>
          <w:szCs w:val="20"/>
        </w:rPr>
      </w:pPr>
    </w:p>
    <w:p w14:paraId="685D02A4" w14:textId="425FF86D" w:rsidR="00A900D3" w:rsidRPr="00826A9D" w:rsidRDefault="00A900D3"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The </w:t>
      </w:r>
      <w:r w:rsidR="006406C8" w:rsidRPr="00826A9D">
        <w:rPr>
          <w:rFonts w:ascii="Arial" w:hAnsi="Arial" w:cs="Arial"/>
          <w:sz w:val="20"/>
          <w:szCs w:val="20"/>
        </w:rPr>
        <w:t xml:space="preserve">proposed </w:t>
      </w:r>
      <w:r w:rsidR="005412F1" w:rsidRPr="00826A9D">
        <w:rPr>
          <w:rFonts w:ascii="Arial" w:hAnsi="Arial" w:cs="Arial"/>
          <w:sz w:val="20"/>
          <w:szCs w:val="20"/>
        </w:rPr>
        <w:t xml:space="preserve">priority areas </w:t>
      </w:r>
      <w:r w:rsidR="006D7776" w:rsidRPr="00826A9D">
        <w:rPr>
          <w:rFonts w:ascii="Arial" w:hAnsi="Arial" w:cs="Arial"/>
          <w:sz w:val="20"/>
          <w:szCs w:val="20"/>
        </w:rPr>
        <w:t xml:space="preserve">in the paper </w:t>
      </w:r>
      <w:r w:rsidR="005412F1" w:rsidRPr="00826A9D">
        <w:rPr>
          <w:rFonts w:ascii="Arial" w:hAnsi="Arial" w:cs="Arial"/>
          <w:sz w:val="20"/>
          <w:szCs w:val="20"/>
        </w:rPr>
        <w:t xml:space="preserve">continue </w:t>
      </w:r>
      <w:r w:rsidR="00E87E0B" w:rsidRPr="00826A9D">
        <w:rPr>
          <w:rFonts w:ascii="Arial" w:hAnsi="Arial" w:cs="Arial"/>
          <w:sz w:val="20"/>
          <w:szCs w:val="20"/>
        </w:rPr>
        <w:t>down a path that has not improved employment outcomes for people with disability, either at scale or sustainably, for nearly three decades. The</w:t>
      </w:r>
      <w:r w:rsidR="006D7776" w:rsidRPr="00826A9D">
        <w:rPr>
          <w:rFonts w:ascii="Arial" w:hAnsi="Arial" w:cs="Arial"/>
          <w:sz w:val="20"/>
          <w:szCs w:val="20"/>
        </w:rPr>
        <w:t xml:space="preserve"> paper frames </w:t>
      </w:r>
      <w:r w:rsidR="00204E92" w:rsidRPr="00826A9D">
        <w:rPr>
          <w:rFonts w:ascii="Arial" w:hAnsi="Arial" w:cs="Arial"/>
          <w:sz w:val="20"/>
          <w:szCs w:val="20"/>
        </w:rPr>
        <w:t xml:space="preserve">the persistent </w:t>
      </w:r>
      <w:r w:rsidRPr="00826A9D">
        <w:rPr>
          <w:rFonts w:ascii="Arial" w:hAnsi="Arial" w:cs="Arial"/>
          <w:sz w:val="20"/>
          <w:szCs w:val="20"/>
        </w:rPr>
        <w:t xml:space="preserve">unemployment </w:t>
      </w:r>
      <w:r w:rsidR="00204E92" w:rsidRPr="00826A9D">
        <w:rPr>
          <w:rFonts w:ascii="Arial" w:hAnsi="Arial" w:cs="Arial"/>
          <w:sz w:val="20"/>
          <w:szCs w:val="20"/>
        </w:rPr>
        <w:t>of</w:t>
      </w:r>
      <w:r w:rsidRPr="00826A9D">
        <w:rPr>
          <w:rFonts w:ascii="Arial" w:hAnsi="Arial" w:cs="Arial"/>
          <w:sz w:val="20"/>
          <w:szCs w:val="20"/>
        </w:rPr>
        <w:t xml:space="preserve"> people with disability as a problem that can be solved by adjusting the skills, attitudes, and behaviour of </w:t>
      </w:r>
      <w:r w:rsidRPr="00826A9D">
        <w:rPr>
          <w:rFonts w:ascii="Arial" w:hAnsi="Arial" w:cs="Arial"/>
          <w:i/>
          <w:iCs/>
          <w:sz w:val="20"/>
          <w:szCs w:val="20"/>
        </w:rPr>
        <w:t>individual actors</w:t>
      </w:r>
      <w:r w:rsidRPr="00826A9D">
        <w:rPr>
          <w:rFonts w:ascii="Arial" w:hAnsi="Arial" w:cs="Arial"/>
          <w:sz w:val="20"/>
          <w:szCs w:val="20"/>
        </w:rPr>
        <w:t xml:space="preserve"> – jobseekers, their families, service providers, employers, people in the community - in the face of labour market conditions shaped by economic policy, global forces, and technological change. </w:t>
      </w:r>
    </w:p>
    <w:p w14:paraId="769F8CBB" w14:textId="61E6D03A" w:rsidR="00D857B3" w:rsidRPr="00826A9D" w:rsidRDefault="00D857B3" w:rsidP="00826A9D">
      <w:pPr>
        <w:tabs>
          <w:tab w:val="left" w:pos="6663"/>
        </w:tabs>
        <w:spacing w:after="0" w:line="240" w:lineRule="auto"/>
        <w:jc w:val="both"/>
        <w:rPr>
          <w:rFonts w:ascii="Arial" w:hAnsi="Arial" w:cs="Arial"/>
          <w:sz w:val="20"/>
          <w:szCs w:val="20"/>
        </w:rPr>
      </w:pPr>
    </w:p>
    <w:p w14:paraId="6ECF294B" w14:textId="38C1C036" w:rsidR="00D857B3" w:rsidRPr="00826A9D" w:rsidRDefault="00D857B3"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The </w:t>
      </w:r>
      <w:r w:rsidR="00802775" w:rsidRPr="00826A9D">
        <w:rPr>
          <w:rFonts w:ascii="Arial" w:hAnsi="Arial" w:cs="Arial"/>
          <w:sz w:val="20"/>
          <w:szCs w:val="20"/>
        </w:rPr>
        <w:t xml:space="preserve">COVID-19 </w:t>
      </w:r>
      <w:r w:rsidRPr="00826A9D">
        <w:rPr>
          <w:rFonts w:ascii="Arial" w:hAnsi="Arial" w:cs="Arial"/>
          <w:sz w:val="20"/>
          <w:szCs w:val="20"/>
        </w:rPr>
        <w:t xml:space="preserve">pandemic has disrupted traditional organisational behaviour and customer bases. It has also </w:t>
      </w:r>
      <w:r w:rsidR="006406C8" w:rsidRPr="00826A9D">
        <w:rPr>
          <w:rFonts w:ascii="Arial" w:hAnsi="Arial" w:cs="Arial"/>
          <w:sz w:val="20"/>
          <w:szCs w:val="20"/>
        </w:rPr>
        <w:t xml:space="preserve">highlighted </w:t>
      </w:r>
      <w:r w:rsidRPr="00826A9D">
        <w:rPr>
          <w:rFonts w:ascii="Arial" w:hAnsi="Arial" w:cs="Arial"/>
          <w:sz w:val="20"/>
          <w:szCs w:val="20"/>
        </w:rPr>
        <w:t>the value to government and business of embracing different perspectives in framing problems and solutions</w:t>
      </w:r>
      <w:r w:rsidR="006406C8" w:rsidRPr="00826A9D">
        <w:rPr>
          <w:rFonts w:ascii="Arial" w:hAnsi="Arial" w:cs="Arial"/>
          <w:sz w:val="20"/>
          <w:szCs w:val="20"/>
        </w:rPr>
        <w:t xml:space="preserve"> in a crisis</w:t>
      </w:r>
      <w:r w:rsidRPr="00826A9D">
        <w:rPr>
          <w:rFonts w:ascii="Arial" w:hAnsi="Arial" w:cs="Arial"/>
          <w:sz w:val="20"/>
          <w:szCs w:val="20"/>
        </w:rPr>
        <w:t xml:space="preserve">. It presents an opportunity to reset how </w:t>
      </w:r>
      <w:r w:rsidR="00A22586" w:rsidRPr="00826A9D">
        <w:rPr>
          <w:rFonts w:ascii="Arial" w:hAnsi="Arial" w:cs="Arial"/>
          <w:sz w:val="20"/>
          <w:szCs w:val="20"/>
        </w:rPr>
        <w:t xml:space="preserve">jobs are created, how </w:t>
      </w:r>
      <w:r w:rsidRPr="00826A9D">
        <w:rPr>
          <w:rFonts w:ascii="Arial" w:hAnsi="Arial" w:cs="Arial"/>
          <w:sz w:val="20"/>
          <w:szCs w:val="20"/>
        </w:rPr>
        <w:t xml:space="preserve">work is organised, how productivity is measured, and business hiring and management practices to build a more inclusive and diverse labour force and realise the full potential of Australia’s human capital. This calls for new approaches to policy design and implementation that reflect and balance the needs and circumstances of marginalised jobseekers and employers in the context of the current and future labour market, to expand opportunities for work in private and public employment, social </w:t>
      </w:r>
      <w:r w:rsidR="00802775" w:rsidRPr="00826A9D">
        <w:rPr>
          <w:rFonts w:ascii="Arial" w:hAnsi="Arial" w:cs="Arial"/>
          <w:sz w:val="20"/>
          <w:szCs w:val="20"/>
        </w:rPr>
        <w:t>and</w:t>
      </w:r>
      <w:r w:rsidRPr="00826A9D">
        <w:rPr>
          <w:rFonts w:ascii="Arial" w:hAnsi="Arial" w:cs="Arial"/>
          <w:sz w:val="20"/>
          <w:szCs w:val="20"/>
        </w:rPr>
        <w:t xml:space="preserve"> disability enterprises, the green economy, micro-enterprises</w:t>
      </w:r>
      <w:r w:rsidR="00802775" w:rsidRPr="00826A9D">
        <w:rPr>
          <w:rFonts w:ascii="Arial" w:hAnsi="Arial" w:cs="Arial"/>
          <w:sz w:val="20"/>
          <w:szCs w:val="20"/>
        </w:rPr>
        <w:t>,</w:t>
      </w:r>
      <w:r w:rsidRPr="00826A9D">
        <w:rPr>
          <w:rFonts w:ascii="Arial" w:hAnsi="Arial" w:cs="Arial"/>
          <w:sz w:val="20"/>
          <w:szCs w:val="20"/>
        </w:rPr>
        <w:t xml:space="preserve"> and self-employment.   </w:t>
      </w:r>
    </w:p>
    <w:p w14:paraId="533B435D" w14:textId="77777777" w:rsidR="00A900D3" w:rsidRPr="00826A9D" w:rsidRDefault="00A900D3" w:rsidP="00826A9D">
      <w:pPr>
        <w:tabs>
          <w:tab w:val="left" w:pos="6663"/>
        </w:tabs>
        <w:spacing w:after="0" w:line="240" w:lineRule="auto"/>
        <w:jc w:val="both"/>
        <w:rPr>
          <w:rFonts w:ascii="Arial" w:hAnsi="Arial" w:cs="Arial"/>
          <w:sz w:val="20"/>
          <w:szCs w:val="20"/>
        </w:rPr>
      </w:pPr>
    </w:p>
    <w:p w14:paraId="6E40C5EC" w14:textId="2D16B203" w:rsidR="00074691" w:rsidRDefault="005E4956"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As at 31 March 2021, the total caseload </w:t>
      </w:r>
      <w:r w:rsidR="00CE5E14" w:rsidRPr="00826A9D">
        <w:rPr>
          <w:rFonts w:ascii="Arial" w:hAnsi="Arial" w:cs="Arial"/>
          <w:sz w:val="20"/>
          <w:szCs w:val="20"/>
        </w:rPr>
        <w:t xml:space="preserve">for Disability Employment Services (DES) </w:t>
      </w:r>
      <w:r w:rsidRPr="00826A9D">
        <w:rPr>
          <w:rFonts w:ascii="Arial" w:hAnsi="Arial" w:cs="Arial"/>
          <w:sz w:val="20"/>
          <w:szCs w:val="20"/>
        </w:rPr>
        <w:t>was 309,994 jobseekers.</w:t>
      </w:r>
      <w:r w:rsidR="00CE5E14" w:rsidRPr="00826A9D">
        <w:rPr>
          <w:rStyle w:val="FootnoteReference"/>
          <w:rFonts w:ascii="Arial" w:hAnsi="Arial" w:cs="Arial"/>
          <w:sz w:val="20"/>
          <w:szCs w:val="20"/>
        </w:rPr>
        <w:footnoteReference w:id="7"/>
      </w:r>
      <w:r w:rsidRPr="00826A9D">
        <w:rPr>
          <w:rFonts w:ascii="Arial" w:hAnsi="Arial" w:cs="Arial"/>
          <w:sz w:val="20"/>
          <w:szCs w:val="20"/>
        </w:rPr>
        <w:t xml:space="preserve"> The total </w:t>
      </w:r>
      <w:r w:rsidRPr="00826A9D">
        <w:rPr>
          <w:rFonts w:ascii="Arial" w:hAnsi="Arial" w:cs="Arial"/>
          <w:i/>
          <w:iCs/>
          <w:sz w:val="20"/>
          <w:szCs w:val="20"/>
        </w:rPr>
        <w:t>jobactive</w:t>
      </w:r>
      <w:r w:rsidRPr="00826A9D">
        <w:rPr>
          <w:rFonts w:ascii="Arial" w:hAnsi="Arial" w:cs="Arial"/>
          <w:sz w:val="20"/>
          <w:szCs w:val="20"/>
        </w:rPr>
        <w:t xml:space="preserve"> caseload exceeded 1.2 million jobseekers, including 259,484 people with disability.</w:t>
      </w:r>
      <w:r w:rsidR="00952C6E" w:rsidRPr="00826A9D">
        <w:rPr>
          <w:rStyle w:val="FootnoteReference"/>
          <w:rFonts w:ascii="Arial" w:hAnsi="Arial" w:cs="Arial"/>
          <w:sz w:val="20"/>
          <w:szCs w:val="20"/>
        </w:rPr>
        <w:footnoteReference w:id="8"/>
      </w:r>
      <w:r w:rsidRPr="00826A9D">
        <w:rPr>
          <w:rFonts w:ascii="Arial" w:hAnsi="Arial" w:cs="Arial"/>
          <w:sz w:val="20"/>
          <w:szCs w:val="20"/>
        </w:rPr>
        <w:t xml:space="preserve"> In February 2021, there were 288,700 advertised job vacancies in Australia.</w:t>
      </w:r>
      <w:r w:rsidR="00952C6E" w:rsidRPr="00826A9D">
        <w:rPr>
          <w:rStyle w:val="FootnoteReference"/>
          <w:rFonts w:ascii="Arial" w:hAnsi="Arial" w:cs="Arial"/>
          <w:sz w:val="20"/>
          <w:szCs w:val="20"/>
        </w:rPr>
        <w:footnoteReference w:id="9"/>
      </w:r>
      <w:r w:rsidRPr="00826A9D">
        <w:rPr>
          <w:rFonts w:ascii="Arial" w:hAnsi="Arial" w:cs="Arial"/>
          <w:sz w:val="20"/>
          <w:szCs w:val="20"/>
        </w:rPr>
        <w:t xml:space="preserve"> </w:t>
      </w:r>
      <w:r w:rsidR="00D745B2">
        <w:rPr>
          <w:rFonts w:ascii="Arial" w:hAnsi="Arial" w:cs="Arial"/>
          <w:sz w:val="20"/>
          <w:szCs w:val="20"/>
        </w:rPr>
        <w:t xml:space="preserve"> </w:t>
      </w:r>
      <w:r w:rsidRPr="00826A9D">
        <w:rPr>
          <w:rFonts w:ascii="Arial" w:hAnsi="Arial" w:cs="Arial"/>
          <w:sz w:val="20"/>
          <w:szCs w:val="20"/>
        </w:rPr>
        <w:t>We cannot - and should not - rely on the private sector to bridge this gap between demand for and supply of labour and trust that people with disability seeking work will not be sidelined in that process.</w:t>
      </w:r>
      <w:r w:rsidR="008B0EE4" w:rsidRPr="00826A9D">
        <w:rPr>
          <w:rFonts w:ascii="Arial" w:hAnsi="Arial" w:cs="Arial"/>
          <w:sz w:val="20"/>
          <w:szCs w:val="20"/>
        </w:rPr>
        <w:t xml:space="preserve"> Entrenched and widespread unemployment for people with disability will have significant private and public costs.</w:t>
      </w:r>
    </w:p>
    <w:p w14:paraId="5AB7F0B5" w14:textId="77777777" w:rsidR="00E217F8" w:rsidRDefault="00E217F8" w:rsidP="00826A9D">
      <w:pPr>
        <w:tabs>
          <w:tab w:val="left" w:pos="6663"/>
        </w:tabs>
        <w:spacing w:after="0" w:line="240" w:lineRule="auto"/>
        <w:jc w:val="both"/>
        <w:rPr>
          <w:rFonts w:ascii="Arial" w:hAnsi="Arial" w:cs="Arial"/>
          <w:sz w:val="20"/>
          <w:szCs w:val="20"/>
        </w:rPr>
      </w:pPr>
    </w:p>
    <w:p w14:paraId="68E3834A" w14:textId="2A14B989" w:rsidR="00F16020" w:rsidRDefault="00F16020" w:rsidP="00826A9D">
      <w:pPr>
        <w:tabs>
          <w:tab w:val="left" w:pos="6663"/>
        </w:tabs>
        <w:spacing w:after="0" w:line="240" w:lineRule="auto"/>
        <w:jc w:val="both"/>
        <w:rPr>
          <w:rFonts w:ascii="Arial" w:hAnsi="Arial" w:cs="Arial"/>
          <w:sz w:val="20"/>
          <w:szCs w:val="20"/>
        </w:rPr>
      </w:pPr>
    </w:p>
    <w:p w14:paraId="781E80BA" w14:textId="77777777" w:rsidR="00F16020" w:rsidRDefault="00F16020" w:rsidP="007F042C">
      <w:pPr>
        <w:pBdr>
          <w:top w:val="single" w:sz="18" w:space="1" w:color="4472C4" w:themeColor="accent1"/>
          <w:left w:val="single" w:sz="18" w:space="4" w:color="4472C4" w:themeColor="accent1"/>
          <w:bottom w:val="single" w:sz="18" w:space="1" w:color="4472C4" w:themeColor="accent1"/>
          <w:right w:val="single" w:sz="18" w:space="4" w:color="4472C4" w:themeColor="accent1"/>
        </w:pBdr>
        <w:tabs>
          <w:tab w:val="left" w:pos="6663"/>
        </w:tabs>
        <w:spacing w:after="0" w:line="240" w:lineRule="auto"/>
        <w:ind w:left="426" w:right="521"/>
        <w:jc w:val="both"/>
        <w:rPr>
          <w:rFonts w:ascii="Arial" w:hAnsi="Arial" w:cs="Arial"/>
          <w:sz w:val="20"/>
          <w:szCs w:val="20"/>
        </w:rPr>
      </w:pPr>
    </w:p>
    <w:p w14:paraId="06434D70" w14:textId="77777777" w:rsidR="007F042C" w:rsidRDefault="004C3F08" w:rsidP="007F042C">
      <w:pPr>
        <w:pBdr>
          <w:top w:val="single" w:sz="18" w:space="1" w:color="4472C4" w:themeColor="accent1"/>
          <w:left w:val="single" w:sz="18" w:space="4" w:color="4472C4" w:themeColor="accent1"/>
          <w:bottom w:val="single" w:sz="18" w:space="1" w:color="4472C4" w:themeColor="accent1"/>
          <w:right w:val="single" w:sz="18" w:space="4" w:color="4472C4" w:themeColor="accent1"/>
        </w:pBdr>
        <w:spacing w:after="0" w:line="240" w:lineRule="auto"/>
        <w:ind w:left="426" w:right="521"/>
        <w:jc w:val="both"/>
        <w:rPr>
          <w:rFonts w:ascii="Arial" w:hAnsi="Arial" w:cs="Arial"/>
          <w:sz w:val="20"/>
          <w:szCs w:val="20"/>
        </w:rPr>
      </w:pPr>
      <w:r>
        <w:rPr>
          <w:rFonts w:ascii="Arial" w:hAnsi="Arial" w:cs="Arial"/>
          <w:sz w:val="20"/>
          <w:szCs w:val="20"/>
        </w:rPr>
        <w:t>T</w:t>
      </w:r>
      <w:r w:rsidR="0007712C">
        <w:rPr>
          <w:rFonts w:ascii="Arial" w:hAnsi="Arial" w:cs="Arial"/>
          <w:sz w:val="20"/>
          <w:szCs w:val="20"/>
        </w:rPr>
        <w:t xml:space="preserve">he COVID-19 pandemic presents an opportunity to rethink traditional approaches to addressing disadvantage. The </w:t>
      </w:r>
      <w:r w:rsidR="00F16020">
        <w:rPr>
          <w:rFonts w:ascii="Arial" w:hAnsi="Arial" w:cs="Arial"/>
          <w:sz w:val="20"/>
          <w:szCs w:val="20"/>
        </w:rPr>
        <w:t xml:space="preserve">National Disability Employment Strategy </w:t>
      </w:r>
      <w:r w:rsidR="0007712C">
        <w:rPr>
          <w:rFonts w:ascii="Arial" w:hAnsi="Arial" w:cs="Arial"/>
          <w:sz w:val="20"/>
          <w:szCs w:val="20"/>
        </w:rPr>
        <w:t xml:space="preserve">will not </w:t>
      </w:r>
      <w:r w:rsidR="00F16020">
        <w:rPr>
          <w:rFonts w:ascii="Arial" w:hAnsi="Arial" w:cs="Arial"/>
          <w:sz w:val="20"/>
          <w:szCs w:val="20"/>
        </w:rPr>
        <w:t xml:space="preserve">improve the employment prospects of people with disability if it </w:t>
      </w:r>
      <w:r w:rsidR="0007712C">
        <w:rPr>
          <w:rFonts w:ascii="Arial" w:hAnsi="Arial" w:cs="Arial"/>
          <w:sz w:val="20"/>
          <w:szCs w:val="20"/>
        </w:rPr>
        <w:t xml:space="preserve">simply </w:t>
      </w:r>
      <w:r w:rsidR="00F16020">
        <w:rPr>
          <w:rFonts w:ascii="Arial" w:hAnsi="Arial" w:cs="Arial"/>
          <w:sz w:val="20"/>
          <w:szCs w:val="20"/>
        </w:rPr>
        <w:t>repeat</w:t>
      </w:r>
      <w:r w:rsidR="0007712C">
        <w:rPr>
          <w:rFonts w:ascii="Arial" w:hAnsi="Arial" w:cs="Arial"/>
          <w:sz w:val="20"/>
          <w:szCs w:val="20"/>
        </w:rPr>
        <w:t>s</w:t>
      </w:r>
      <w:r w:rsidR="00F16020">
        <w:rPr>
          <w:rFonts w:ascii="Arial" w:hAnsi="Arial" w:cs="Arial"/>
          <w:sz w:val="20"/>
          <w:szCs w:val="20"/>
        </w:rPr>
        <w:t xml:space="preserve"> approaches and initiatives that have </w:t>
      </w:r>
      <w:r>
        <w:rPr>
          <w:rFonts w:ascii="Arial" w:hAnsi="Arial" w:cs="Arial"/>
          <w:sz w:val="20"/>
          <w:szCs w:val="20"/>
        </w:rPr>
        <w:t xml:space="preserve">failed to </w:t>
      </w:r>
      <w:r w:rsidR="0007712C">
        <w:rPr>
          <w:rFonts w:ascii="Arial" w:hAnsi="Arial" w:cs="Arial"/>
          <w:sz w:val="20"/>
          <w:szCs w:val="20"/>
        </w:rPr>
        <w:t xml:space="preserve">move </w:t>
      </w:r>
      <w:r w:rsidR="00734CE4">
        <w:rPr>
          <w:rFonts w:ascii="Arial" w:hAnsi="Arial" w:cs="Arial"/>
          <w:sz w:val="20"/>
          <w:szCs w:val="20"/>
        </w:rPr>
        <w:t>the</w:t>
      </w:r>
      <w:r w:rsidR="0007712C">
        <w:rPr>
          <w:rFonts w:ascii="Arial" w:hAnsi="Arial" w:cs="Arial"/>
          <w:sz w:val="20"/>
          <w:szCs w:val="20"/>
        </w:rPr>
        <w:t xml:space="preserve"> dial for </w:t>
      </w:r>
      <w:r w:rsidR="00F16020">
        <w:rPr>
          <w:rFonts w:ascii="Arial" w:hAnsi="Arial" w:cs="Arial"/>
          <w:sz w:val="20"/>
          <w:szCs w:val="20"/>
        </w:rPr>
        <w:t>decades</w:t>
      </w:r>
      <w:r w:rsidR="0002554E">
        <w:rPr>
          <w:rFonts w:ascii="Arial" w:hAnsi="Arial" w:cs="Arial"/>
          <w:sz w:val="20"/>
          <w:szCs w:val="20"/>
        </w:rPr>
        <w:t xml:space="preserve">. It should </w:t>
      </w:r>
      <w:r w:rsidR="00130114">
        <w:rPr>
          <w:rFonts w:ascii="Arial" w:hAnsi="Arial" w:cs="Arial"/>
          <w:sz w:val="20"/>
          <w:szCs w:val="20"/>
        </w:rPr>
        <w:t xml:space="preserve">explicitly </w:t>
      </w:r>
      <w:r w:rsidR="0007712C">
        <w:rPr>
          <w:rFonts w:ascii="Arial" w:hAnsi="Arial" w:cs="Arial"/>
          <w:sz w:val="20"/>
          <w:szCs w:val="20"/>
        </w:rPr>
        <w:t xml:space="preserve">address </w:t>
      </w:r>
      <w:r>
        <w:rPr>
          <w:rFonts w:ascii="Arial" w:hAnsi="Arial" w:cs="Arial"/>
          <w:sz w:val="20"/>
          <w:szCs w:val="20"/>
        </w:rPr>
        <w:t xml:space="preserve">the current and emerging social and economic environment in which people with disability are seeking work. </w:t>
      </w:r>
      <w:r w:rsidR="000467F4">
        <w:rPr>
          <w:rFonts w:ascii="Arial" w:hAnsi="Arial" w:cs="Arial"/>
          <w:sz w:val="20"/>
          <w:szCs w:val="20"/>
        </w:rPr>
        <w:t xml:space="preserve">Government must play an active role in shaping the future labour market </w:t>
      </w:r>
      <w:r w:rsidR="00346E01" w:rsidRPr="00826A9D">
        <w:rPr>
          <w:rFonts w:ascii="Arial" w:hAnsi="Arial" w:cs="Arial"/>
          <w:sz w:val="20"/>
          <w:szCs w:val="20"/>
        </w:rPr>
        <w:t xml:space="preserve">and </w:t>
      </w:r>
      <w:r w:rsidR="000467F4">
        <w:rPr>
          <w:rFonts w:ascii="Arial" w:hAnsi="Arial" w:cs="Arial"/>
          <w:sz w:val="20"/>
          <w:szCs w:val="20"/>
        </w:rPr>
        <w:t xml:space="preserve">ensure that </w:t>
      </w:r>
      <w:r w:rsidR="00346E01" w:rsidRPr="00826A9D">
        <w:rPr>
          <w:rFonts w:ascii="Arial" w:hAnsi="Arial" w:cs="Arial"/>
          <w:sz w:val="20"/>
          <w:szCs w:val="20"/>
        </w:rPr>
        <w:t xml:space="preserve">people with disability </w:t>
      </w:r>
      <w:r w:rsidR="000467F4">
        <w:rPr>
          <w:rFonts w:ascii="Arial" w:hAnsi="Arial" w:cs="Arial"/>
          <w:sz w:val="20"/>
          <w:szCs w:val="20"/>
        </w:rPr>
        <w:t xml:space="preserve">are not </w:t>
      </w:r>
      <w:r w:rsidR="00346E01" w:rsidRPr="00826A9D">
        <w:rPr>
          <w:rFonts w:ascii="Arial" w:hAnsi="Arial" w:cs="Arial"/>
          <w:sz w:val="20"/>
          <w:szCs w:val="20"/>
        </w:rPr>
        <w:t xml:space="preserve">sidelined in that process. </w:t>
      </w:r>
    </w:p>
    <w:p w14:paraId="645D0CDB" w14:textId="77777777" w:rsidR="007F042C" w:rsidRDefault="007F042C" w:rsidP="007F042C">
      <w:pPr>
        <w:pBdr>
          <w:top w:val="single" w:sz="18" w:space="1" w:color="4472C4" w:themeColor="accent1"/>
          <w:left w:val="single" w:sz="18" w:space="4" w:color="4472C4" w:themeColor="accent1"/>
          <w:bottom w:val="single" w:sz="18" w:space="1" w:color="4472C4" w:themeColor="accent1"/>
          <w:right w:val="single" w:sz="18" w:space="4" w:color="4472C4" w:themeColor="accent1"/>
        </w:pBdr>
        <w:spacing w:after="0" w:line="240" w:lineRule="auto"/>
        <w:ind w:left="426" w:right="521"/>
        <w:jc w:val="both"/>
        <w:rPr>
          <w:rFonts w:ascii="Arial" w:hAnsi="Arial" w:cs="Arial"/>
          <w:sz w:val="20"/>
          <w:szCs w:val="20"/>
        </w:rPr>
      </w:pPr>
    </w:p>
    <w:p w14:paraId="7E928779" w14:textId="5EFE7F0D" w:rsidR="00F16020" w:rsidRDefault="00F16020" w:rsidP="007F042C">
      <w:pPr>
        <w:pBdr>
          <w:top w:val="single" w:sz="18" w:space="1" w:color="4472C4" w:themeColor="accent1"/>
          <w:left w:val="single" w:sz="18" w:space="4" w:color="4472C4" w:themeColor="accent1"/>
          <w:bottom w:val="single" w:sz="18" w:space="1" w:color="4472C4" w:themeColor="accent1"/>
          <w:right w:val="single" w:sz="18" w:space="4" w:color="4472C4" w:themeColor="accent1"/>
        </w:pBdr>
        <w:spacing w:after="0" w:line="240" w:lineRule="auto"/>
        <w:ind w:left="426" w:right="521"/>
        <w:jc w:val="both"/>
        <w:rPr>
          <w:rFonts w:ascii="Arial" w:hAnsi="Arial" w:cs="Arial"/>
          <w:sz w:val="20"/>
          <w:szCs w:val="20"/>
        </w:rPr>
      </w:pPr>
      <w:r w:rsidRPr="00852113">
        <w:rPr>
          <w:rFonts w:ascii="Arial" w:hAnsi="Arial" w:cs="Arial"/>
          <w:b/>
          <w:bCs/>
          <w:sz w:val="20"/>
          <w:szCs w:val="20"/>
        </w:rPr>
        <w:t>We now have a chance to chart a different course.</w:t>
      </w:r>
      <w:r>
        <w:rPr>
          <w:rFonts w:ascii="Arial" w:hAnsi="Arial" w:cs="Arial"/>
          <w:sz w:val="20"/>
          <w:szCs w:val="20"/>
        </w:rPr>
        <w:t xml:space="preserve"> This new path must begin with recognising that persistent unemployment of people with disability is a structural and social problem as well as an individual one</w:t>
      </w:r>
      <w:r w:rsidR="004C3F08">
        <w:rPr>
          <w:rFonts w:ascii="Arial" w:hAnsi="Arial" w:cs="Arial"/>
          <w:sz w:val="20"/>
          <w:szCs w:val="20"/>
        </w:rPr>
        <w:t>. S</w:t>
      </w:r>
      <w:r>
        <w:rPr>
          <w:rFonts w:ascii="Arial" w:hAnsi="Arial" w:cs="Arial"/>
          <w:sz w:val="20"/>
          <w:szCs w:val="20"/>
        </w:rPr>
        <w:t xml:space="preserve">trategies and initiatives that respond to both are required. </w:t>
      </w:r>
    </w:p>
    <w:p w14:paraId="124BF96E" w14:textId="77777777" w:rsidR="00F16020" w:rsidRPr="00826A9D" w:rsidRDefault="00F16020" w:rsidP="007F042C">
      <w:pPr>
        <w:pBdr>
          <w:top w:val="single" w:sz="18" w:space="1" w:color="4472C4" w:themeColor="accent1"/>
          <w:left w:val="single" w:sz="18" w:space="4" w:color="4472C4" w:themeColor="accent1"/>
          <w:bottom w:val="single" w:sz="18" w:space="1" w:color="4472C4" w:themeColor="accent1"/>
          <w:right w:val="single" w:sz="18" w:space="4" w:color="4472C4" w:themeColor="accent1"/>
        </w:pBdr>
        <w:tabs>
          <w:tab w:val="left" w:pos="6663"/>
        </w:tabs>
        <w:spacing w:after="0" w:line="240" w:lineRule="auto"/>
        <w:ind w:left="426" w:right="521"/>
        <w:jc w:val="both"/>
        <w:rPr>
          <w:rFonts w:ascii="Arial" w:hAnsi="Arial" w:cs="Arial"/>
          <w:sz w:val="20"/>
          <w:szCs w:val="20"/>
        </w:rPr>
      </w:pPr>
    </w:p>
    <w:p w14:paraId="2AD47132" w14:textId="77777777" w:rsidR="00D857B3" w:rsidRPr="00826A9D" w:rsidRDefault="00D857B3" w:rsidP="00826A9D">
      <w:pPr>
        <w:tabs>
          <w:tab w:val="left" w:pos="6663"/>
        </w:tabs>
        <w:spacing w:after="0" w:line="240" w:lineRule="auto"/>
        <w:jc w:val="both"/>
        <w:rPr>
          <w:rFonts w:ascii="Arial" w:hAnsi="Arial" w:cs="Arial"/>
          <w:i/>
          <w:iCs/>
          <w:sz w:val="20"/>
          <w:szCs w:val="20"/>
        </w:rPr>
      </w:pPr>
    </w:p>
    <w:p w14:paraId="2CE0E6C3" w14:textId="77777777" w:rsidR="00B322FA" w:rsidRDefault="00B322FA">
      <w:pPr>
        <w:rPr>
          <w:rFonts w:ascii="Arial" w:hAnsi="Arial" w:cs="Arial"/>
          <w:b/>
          <w:bCs/>
          <w:i/>
          <w:iCs/>
          <w:sz w:val="20"/>
          <w:szCs w:val="20"/>
        </w:rPr>
      </w:pPr>
      <w:r>
        <w:rPr>
          <w:rFonts w:ascii="Arial" w:hAnsi="Arial" w:cs="Arial"/>
          <w:b/>
          <w:bCs/>
          <w:i/>
          <w:iCs/>
          <w:sz w:val="20"/>
          <w:szCs w:val="20"/>
        </w:rPr>
        <w:br w:type="page"/>
      </w:r>
    </w:p>
    <w:p w14:paraId="3AC84214" w14:textId="2B804E5C" w:rsidR="00CD7647" w:rsidRPr="00826A9D" w:rsidRDefault="00F729C8" w:rsidP="00397F6E">
      <w:pPr>
        <w:pStyle w:val="Heading2"/>
      </w:pPr>
      <w:bookmarkStart w:id="7" w:name="_Toc71897322"/>
      <w:r w:rsidRPr="00826A9D">
        <w:lastRenderedPageBreak/>
        <w:t xml:space="preserve">Scope </w:t>
      </w:r>
      <w:r w:rsidR="00EA6FF6" w:rsidRPr="00826A9D">
        <w:t xml:space="preserve">to strengthen </w:t>
      </w:r>
      <w:r w:rsidR="00802775" w:rsidRPr="00826A9D">
        <w:t>the priority areas</w:t>
      </w:r>
      <w:bookmarkEnd w:id="7"/>
    </w:p>
    <w:p w14:paraId="08B67C35" w14:textId="77777777" w:rsidR="00CD7647" w:rsidRPr="00826A9D" w:rsidRDefault="00CD7647" w:rsidP="00826A9D">
      <w:pPr>
        <w:tabs>
          <w:tab w:val="left" w:pos="6663"/>
        </w:tabs>
        <w:spacing w:after="0" w:line="240" w:lineRule="auto"/>
        <w:jc w:val="both"/>
        <w:rPr>
          <w:rFonts w:ascii="Arial" w:hAnsi="Arial" w:cs="Arial"/>
          <w:i/>
          <w:iCs/>
          <w:sz w:val="20"/>
          <w:szCs w:val="20"/>
        </w:rPr>
      </w:pPr>
    </w:p>
    <w:p w14:paraId="7D0BF816" w14:textId="4AE833E3" w:rsidR="00A900D3" w:rsidRPr="00826A9D" w:rsidRDefault="006805EB" w:rsidP="00826A9D">
      <w:pPr>
        <w:tabs>
          <w:tab w:val="left" w:pos="6663"/>
        </w:tabs>
        <w:spacing w:after="0" w:line="240" w:lineRule="auto"/>
        <w:jc w:val="both"/>
        <w:rPr>
          <w:rFonts w:ascii="Arial" w:hAnsi="Arial" w:cs="Arial"/>
          <w:sz w:val="20"/>
          <w:szCs w:val="20"/>
        </w:rPr>
      </w:pPr>
      <w:r w:rsidRPr="00826A9D">
        <w:rPr>
          <w:rFonts w:ascii="Arial" w:hAnsi="Arial" w:cs="Arial"/>
          <w:sz w:val="20"/>
          <w:szCs w:val="20"/>
        </w:rPr>
        <w:t xml:space="preserve">In addition to our overarching feedback, we </w:t>
      </w:r>
      <w:r w:rsidR="00A900D3" w:rsidRPr="00826A9D">
        <w:rPr>
          <w:rFonts w:ascii="Arial" w:hAnsi="Arial" w:cs="Arial"/>
          <w:sz w:val="20"/>
          <w:szCs w:val="20"/>
        </w:rPr>
        <w:t xml:space="preserve">have identified </w:t>
      </w:r>
      <w:r w:rsidRPr="00826A9D">
        <w:rPr>
          <w:rFonts w:ascii="Arial" w:hAnsi="Arial" w:cs="Arial"/>
          <w:sz w:val="20"/>
          <w:szCs w:val="20"/>
        </w:rPr>
        <w:t>four</w:t>
      </w:r>
      <w:r w:rsidR="00A900D3" w:rsidRPr="00826A9D">
        <w:rPr>
          <w:rFonts w:ascii="Arial" w:hAnsi="Arial" w:cs="Arial"/>
          <w:sz w:val="20"/>
          <w:szCs w:val="20"/>
        </w:rPr>
        <w:t xml:space="preserve"> key areas in the consultation paper that </w:t>
      </w:r>
      <w:r w:rsidR="00BA1944">
        <w:rPr>
          <w:rFonts w:ascii="Arial" w:hAnsi="Arial" w:cs="Arial"/>
          <w:sz w:val="20"/>
          <w:szCs w:val="20"/>
        </w:rPr>
        <w:t>we recommend sh</w:t>
      </w:r>
      <w:r w:rsidR="00BA1944" w:rsidRPr="00826A9D">
        <w:rPr>
          <w:rFonts w:ascii="Arial" w:hAnsi="Arial" w:cs="Arial"/>
          <w:sz w:val="20"/>
          <w:szCs w:val="20"/>
        </w:rPr>
        <w:t xml:space="preserve">ould </w:t>
      </w:r>
      <w:r w:rsidR="00A900D3" w:rsidRPr="00826A9D">
        <w:rPr>
          <w:rFonts w:ascii="Arial" w:hAnsi="Arial" w:cs="Arial"/>
          <w:sz w:val="20"/>
          <w:szCs w:val="20"/>
        </w:rPr>
        <w:t>be strengthened:</w:t>
      </w:r>
    </w:p>
    <w:p w14:paraId="1F5998DD" w14:textId="4B4A1154" w:rsidR="006805EB" w:rsidRPr="00826A9D" w:rsidRDefault="006805EB" w:rsidP="00826A9D">
      <w:pPr>
        <w:tabs>
          <w:tab w:val="left" w:pos="6663"/>
        </w:tabs>
        <w:spacing w:after="0" w:line="240" w:lineRule="auto"/>
        <w:jc w:val="both"/>
        <w:rPr>
          <w:rFonts w:ascii="Arial" w:hAnsi="Arial" w:cs="Arial"/>
          <w:sz w:val="20"/>
          <w:szCs w:val="20"/>
        </w:rPr>
      </w:pPr>
    </w:p>
    <w:p w14:paraId="073F5ADA" w14:textId="34DBE44A" w:rsidR="00A900D3" w:rsidRPr="00397F6E" w:rsidRDefault="00A900D3" w:rsidP="00081FD3">
      <w:pPr>
        <w:pStyle w:val="Heading3"/>
      </w:pPr>
      <w:bookmarkStart w:id="8" w:name="_Toc71897323"/>
      <w:r w:rsidRPr="00397F6E">
        <w:t>(1) Lifting employer engagement</w:t>
      </w:r>
      <w:r w:rsidR="006805EB" w:rsidRPr="00397F6E">
        <w:t>, capability and demand</w:t>
      </w:r>
      <w:bookmarkEnd w:id="8"/>
    </w:p>
    <w:p w14:paraId="248D0E5A" w14:textId="77777777" w:rsidR="00A900D3" w:rsidRPr="00826A9D" w:rsidRDefault="00A900D3" w:rsidP="00826A9D">
      <w:pPr>
        <w:pStyle w:val="Default"/>
        <w:tabs>
          <w:tab w:val="left" w:pos="6663"/>
        </w:tabs>
        <w:jc w:val="both"/>
        <w:rPr>
          <w:sz w:val="20"/>
          <w:szCs w:val="20"/>
        </w:rPr>
      </w:pPr>
    </w:p>
    <w:p w14:paraId="6B9B56AB" w14:textId="7D91E503" w:rsidR="006805EB" w:rsidRPr="00826A9D" w:rsidRDefault="00A900D3" w:rsidP="00826A9D">
      <w:pPr>
        <w:pStyle w:val="Default"/>
        <w:tabs>
          <w:tab w:val="left" w:pos="6663"/>
        </w:tabs>
        <w:jc w:val="both"/>
        <w:rPr>
          <w:sz w:val="20"/>
          <w:szCs w:val="20"/>
        </w:rPr>
      </w:pPr>
      <w:r w:rsidRPr="00826A9D">
        <w:rPr>
          <w:sz w:val="20"/>
          <w:szCs w:val="20"/>
        </w:rPr>
        <w:t>Th</w:t>
      </w:r>
      <w:r w:rsidR="006805EB" w:rsidRPr="00826A9D">
        <w:rPr>
          <w:sz w:val="20"/>
          <w:szCs w:val="20"/>
        </w:rPr>
        <w:t xml:space="preserve">is priority area </w:t>
      </w:r>
      <w:r w:rsidRPr="00826A9D">
        <w:rPr>
          <w:sz w:val="20"/>
          <w:szCs w:val="20"/>
        </w:rPr>
        <w:t xml:space="preserve">focuses on small to medium business </w:t>
      </w:r>
      <w:r w:rsidR="006805EB" w:rsidRPr="00826A9D">
        <w:rPr>
          <w:sz w:val="20"/>
          <w:szCs w:val="20"/>
        </w:rPr>
        <w:t xml:space="preserve">(SMEs) </w:t>
      </w:r>
      <w:r w:rsidRPr="00826A9D">
        <w:rPr>
          <w:sz w:val="20"/>
          <w:szCs w:val="20"/>
        </w:rPr>
        <w:t>as employers, with no explicit strategy for big business. This has the hallmarks of creating a second-tier labo</w:t>
      </w:r>
      <w:r w:rsidR="00F572F2" w:rsidRPr="00826A9D">
        <w:rPr>
          <w:sz w:val="20"/>
          <w:szCs w:val="20"/>
        </w:rPr>
        <w:t>u</w:t>
      </w:r>
      <w:r w:rsidRPr="00826A9D">
        <w:rPr>
          <w:sz w:val="20"/>
          <w:szCs w:val="20"/>
        </w:rPr>
        <w:t>r market.</w:t>
      </w:r>
    </w:p>
    <w:p w14:paraId="526C4C2A" w14:textId="0509FF7F" w:rsidR="00A900D3" w:rsidRPr="00826A9D" w:rsidRDefault="00A900D3" w:rsidP="00826A9D">
      <w:pPr>
        <w:pStyle w:val="Default"/>
        <w:tabs>
          <w:tab w:val="left" w:pos="6663"/>
        </w:tabs>
        <w:jc w:val="both"/>
        <w:rPr>
          <w:sz w:val="20"/>
          <w:szCs w:val="20"/>
        </w:rPr>
      </w:pPr>
      <w:r w:rsidRPr="00826A9D">
        <w:rPr>
          <w:sz w:val="20"/>
          <w:szCs w:val="20"/>
        </w:rPr>
        <w:t xml:space="preserve"> </w:t>
      </w:r>
    </w:p>
    <w:p w14:paraId="16DF298D" w14:textId="0BC73D35" w:rsidR="00CD6D66" w:rsidRPr="00826A9D" w:rsidRDefault="00A900D3" w:rsidP="00826A9D">
      <w:pPr>
        <w:pStyle w:val="Default"/>
        <w:tabs>
          <w:tab w:val="left" w:pos="6663"/>
        </w:tabs>
        <w:jc w:val="both"/>
        <w:rPr>
          <w:sz w:val="20"/>
          <w:szCs w:val="20"/>
        </w:rPr>
      </w:pPr>
      <w:r w:rsidRPr="00826A9D">
        <w:rPr>
          <w:sz w:val="20"/>
          <w:szCs w:val="20"/>
        </w:rPr>
        <w:t xml:space="preserve">Like government, large firms are better equipped and positioned to absorb </w:t>
      </w:r>
      <w:r w:rsidR="00BA1944">
        <w:rPr>
          <w:sz w:val="20"/>
          <w:szCs w:val="20"/>
        </w:rPr>
        <w:t xml:space="preserve">short-term </w:t>
      </w:r>
      <w:r w:rsidRPr="00826A9D">
        <w:rPr>
          <w:sz w:val="20"/>
          <w:szCs w:val="20"/>
        </w:rPr>
        <w:t xml:space="preserve">productivity impacts and provide </w:t>
      </w:r>
      <w:r w:rsidR="006805EB" w:rsidRPr="00826A9D">
        <w:rPr>
          <w:sz w:val="20"/>
          <w:szCs w:val="20"/>
        </w:rPr>
        <w:t xml:space="preserve">workplace </w:t>
      </w:r>
      <w:r w:rsidRPr="00826A9D">
        <w:rPr>
          <w:sz w:val="20"/>
          <w:szCs w:val="20"/>
        </w:rPr>
        <w:t xml:space="preserve">adjustments for employees with disability than SMEs. </w:t>
      </w:r>
      <w:r w:rsidR="0096385C" w:rsidRPr="00826A9D">
        <w:rPr>
          <w:sz w:val="20"/>
          <w:szCs w:val="20"/>
        </w:rPr>
        <w:t xml:space="preserve">They also offer more scope for career development. </w:t>
      </w:r>
      <w:r w:rsidRPr="00826A9D">
        <w:rPr>
          <w:sz w:val="20"/>
          <w:szCs w:val="20"/>
        </w:rPr>
        <w:t xml:space="preserve">They should be </w:t>
      </w:r>
      <w:r w:rsidR="00CD6D66" w:rsidRPr="00826A9D">
        <w:rPr>
          <w:sz w:val="20"/>
          <w:szCs w:val="20"/>
        </w:rPr>
        <w:t>drawn</w:t>
      </w:r>
      <w:r w:rsidR="0096385C" w:rsidRPr="00826A9D">
        <w:rPr>
          <w:sz w:val="20"/>
          <w:szCs w:val="20"/>
        </w:rPr>
        <w:t xml:space="preserve"> </w:t>
      </w:r>
      <w:r w:rsidRPr="00826A9D">
        <w:rPr>
          <w:sz w:val="20"/>
          <w:szCs w:val="20"/>
        </w:rPr>
        <w:t>into this</w:t>
      </w:r>
      <w:r w:rsidR="006805EB" w:rsidRPr="00826A9D">
        <w:rPr>
          <w:sz w:val="20"/>
          <w:szCs w:val="20"/>
        </w:rPr>
        <w:t xml:space="preserve"> priority area</w:t>
      </w:r>
      <w:r w:rsidR="0096385C" w:rsidRPr="00826A9D">
        <w:rPr>
          <w:sz w:val="20"/>
          <w:szCs w:val="20"/>
        </w:rPr>
        <w:t xml:space="preserve">, with careful planning tied to the bottom line. </w:t>
      </w:r>
      <w:r w:rsidRPr="00826A9D">
        <w:rPr>
          <w:sz w:val="20"/>
          <w:szCs w:val="20"/>
        </w:rPr>
        <w:t xml:space="preserve">These firms do not exist to serve the public good - directors have a fiduciary duty to act in the best interests of the company under the </w:t>
      </w:r>
      <w:r w:rsidRPr="00826A9D">
        <w:rPr>
          <w:i/>
          <w:iCs/>
          <w:sz w:val="20"/>
          <w:szCs w:val="20"/>
        </w:rPr>
        <w:t>Corporations Act</w:t>
      </w:r>
      <w:r w:rsidR="0096385C" w:rsidRPr="00826A9D">
        <w:rPr>
          <w:i/>
          <w:iCs/>
          <w:sz w:val="20"/>
          <w:szCs w:val="20"/>
        </w:rPr>
        <w:t xml:space="preserve"> 2001 (Cth)</w:t>
      </w:r>
      <w:r w:rsidRPr="00826A9D">
        <w:rPr>
          <w:sz w:val="20"/>
          <w:szCs w:val="20"/>
        </w:rPr>
        <w:t xml:space="preserve">. While they may “implement a policy of enlightened self-interest on the part of the company” they “may not be generous with company resources when there is no prospect of commercial advantage to the company” (Austin et al. 2005:281-282 [7.13]). The key </w:t>
      </w:r>
      <w:r w:rsidR="00CD6D66" w:rsidRPr="00826A9D">
        <w:rPr>
          <w:sz w:val="20"/>
          <w:szCs w:val="20"/>
        </w:rPr>
        <w:t xml:space="preserve">to success in a profit-seeking environment </w:t>
      </w:r>
      <w:r w:rsidR="00EA6FF6" w:rsidRPr="00826A9D">
        <w:rPr>
          <w:sz w:val="20"/>
          <w:szCs w:val="20"/>
        </w:rPr>
        <w:t xml:space="preserve">is </w:t>
      </w:r>
      <w:r w:rsidRPr="00826A9D">
        <w:rPr>
          <w:sz w:val="20"/>
          <w:szCs w:val="20"/>
        </w:rPr>
        <w:t>tipping the balance between the perceived extra effort/risk involved in hiring a person with disability over another suitably qualified candidate</w:t>
      </w:r>
      <w:r w:rsidR="00CD6D66" w:rsidRPr="00826A9D">
        <w:rPr>
          <w:sz w:val="20"/>
          <w:szCs w:val="20"/>
        </w:rPr>
        <w:t>, and demonstrable value to the company to do so.</w:t>
      </w:r>
    </w:p>
    <w:p w14:paraId="024EE19E" w14:textId="27322645" w:rsidR="000457BB" w:rsidRPr="00826A9D" w:rsidRDefault="000457BB" w:rsidP="00826A9D">
      <w:pPr>
        <w:pStyle w:val="Default"/>
        <w:tabs>
          <w:tab w:val="left" w:pos="6663"/>
        </w:tabs>
        <w:jc w:val="both"/>
        <w:rPr>
          <w:sz w:val="20"/>
          <w:szCs w:val="20"/>
        </w:rPr>
      </w:pPr>
    </w:p>
    <w:p w14:paraId="49F2DD90" w14:textId="4E33E53D" w:rsidR="000457BB" w:rsidRPr="00826A9D" w:rsidRDefault="000457BB" w:rsidP="00826A9D">
      <w:pPr>
        <w:pStyle w:val="Default"/>
        <w:tabs>
          <w:tab w:val="left" w:pos="6663"/>
        </w:tabs>
        <w:jc w:val="both"/>
        <w:rPr>
          <w:sz w:val="20"/>
          <w:szCs w:val="20"/>
        </w:rPr>
      </w:pPr>
      <w:r w:rsidRPr="00826A9D">
        <w:rPr>
          <w:sz w:val="20"/>
          <w:szCs w:val="20"/>
        </w:rPr>
        <w:t xml:space="preserve">As stated in our overarching feedback, this priority area can play a part in improving employment outcomes for people with disability, </w:t>
      </w:r>
      <w:r w:rsidR="00C55A28" w:rsidRPr="00826A9D">
        <w:rPr>
          <w:sz w:val="20"/>
          <w:szCs w:val="20"/>
        </w:rPr>
        <w:t>but there will be employment strategies for other groups of jobseekers competing for employer’s attention</w:t>
      </w:r>
      <w:r w:rsidR="00006BA7" w:rsidRPr="00826A9D">
        <w:rPr>
          <w:sz w:val="20"/>
          <w:szCs w:val="20"/>
        </w:rPr>
        <w:t xml:space="preserve"> and job outcomes</w:t>
      </w:r>
      <w:r w:rsidR="00C55A28" w:rsidRPr="00826A9D">
        <w:rPr>
          <w:sz w:val="20"/>
          <w:szCs w:val="20"/>
        </w:rPr>
        <w:t>.</w:t>
      </w:r>
      <w:r w:rsidRPr="00826A9D">
        <w:rPr>
          <w:sz w:val="20"/>
          <w:szCs w:val="20"/>
        </w:rPr>
        <w:t xml:space="preserve"> </w:t>
      </w:r>
    </w:p>
    <w:p w14:paraId="4962F9D4" w14:textId="77777777" w:rsidR="00CD6D66" w:rsidRPr="00826A9D" w:rsidRDefault="00CD6D66" w:rsidP="00826A9D">
      <w:pPr>
        <w:pStyle w:val="Default"/>
        <w:tabs>
          <w:tab w:val="left" w:pos="6663"/>
        </w:tabs>
        <w:jc w:val="both"/>
        <w:rPr>
          <w:sz w:val="20"/>
          <w:szCs w:val="20"/>
        </w:rPr>
      </w:pPr>
    </w:p>
    <w:p w14:paraId="004A3C73" w14:textId="77777777" w:rsidR="00CD6D66" w:rsidRPr="00826A9D" w:rsidRDefault="00A900D3" w:rsidP="00081FD3">
      <w:pPr>
        <w:pStyle w:val="Heading3"/>
      </w:pPr>
      <w:bookmarkStart w:id="9" w:name="_Toc71897324"/>
      <w:r w:rsidRPr="00826A9D">
        <w:t>(2) Building employment skills, experience and confidence of young people with disability</w:t>
      </w:r>
      <w:bookmarkEnd w:id="9"/>
    </w:p>
    <w:p w14:paraId="327B847F" w14:textId="77777777" w:rsidR="00CD6D66" w:rsidRPr="00826A9D" w:rsidRDefault="00CD6D66" w:rsidP="00826A9D">
      <w:pPr>
        <w:tabs>
          <w:tab w:val="left" w:pos="6663"/>
        </w:tabs>
        <w:spacing w:after="0" w:line="240" w:lineRule="auto"/>
        <w:jc w:val="both"/>
        <w:rPr>
          <w:rFonts w:ascii="Arial" w:hAnsi="Arial" w:cs="Arial"/>
          <w:i/>
          <w:iCs/>
          <w:sz w:val="20"/>
          <w:szCs w:val="20"/>
        </w:rPr>
      </w:pPr>
    </w:p>
    <w:p w14:paraId="249F1874" w14:textId="0E4FA498" w:rsidR="00284C1B" w:rsidRDefault="00A900D3" w:rsidP="00826A9D">
      <w:pPr>
        <w:pStyle w:val="Default"/>
        <w:tabs>
          <w:tab w:val="left" w:pos="6663"/>
        </w:tabs>
        <w:jc w:val="both"/>
        <w:rPr>
          <w:sz w:val="20"/>
          <w:szCs w:val="20"/>
        </w:rPr>
      </w:pPr>
      <w:r w:rsidRPr="00826A9D">
        <w:rPr>
          <w:sz w:val="20"/>
          <w:szCs w:val="20"/>
        </w:rPr>
        <w:t>Th</w:t>
      </w:r>
      <w:r w:rsidR="00CD6D66" w:rsidRPr="00826A9D">
        <w:rPr>
          <w:sz w:val="20"/>
          <w:szCs w:val="20"/>
        </w:rPr>
        <w:t xml:space="preserve">is priority area </w:t>
      </w:r>
      <w:r w:rsidRPr="00826A9D">
        <w:rPr>
          <w:sz w:val="20"/>
          <w:szCs w:val="20"/>
        </w:rPr>
        <w:t xml:space="preserve">does not address </w:t>
      </w:r>
      <w:r w:rsidR="00826A9D" w:rsidRPr="00826A9D">
        <w:rPr>
          <w:sz w:val="20"/>
          <w:szCs w:val="20"/>
        </w:rPr>
        <w:t>the</w:t>
      </w:r>
      <w:r w:rsidRPr="00826A9D">
        <w:rPr>
          <w:sz w:val="20"/>
          <w:szCs w:val="20"/>
        </w:rPr>
        <w:t xml:space="preserve"> core labour market issue </w:t>
      </w:r>
      <w:r w:rsidR="00284C1B" w:rsidRPr="00826A9D">
        <w:rPr>
          <w:sz w:val="20"/>
          <w:szCs w:val="20"/>
        </w:rPr>
        <w:t xml:space="preserve">keeping young people with disability out of work </w:t>
      </w:r>
      <w:r w:rsidRPr="00826A9D">
        <w:rPr>
          <w:sz w:val="20"/>
          <w:szCs w:val="20"/>
        </w:rPr>
        <w:t>–</w:t>
      </w:r>
      <w:r w:rsidR="008413C7" w:rsidRPr="00826A9D">
        <w:rPr>
          <w:sz w:val="20"/>
          <w:szCs w:val="20"/>
        </w:rPr>
        <w:t xml:space="preserve"> </w:t>
      </w:r>
      <w:r w:rsidRPr="00826A9D">
        <w:rPr>
          <w:sz w:val="20"/>
          <w:szCs w:val="20"/>
        </w:rPr>
        <w:t xml:space="preserve">competition for entry-level jobs. As at 31 March 2021, the </w:t>
      </w:r>
      <w:r w:rsidRPr="00826A9D">
        <w:rPr>
          <w:i/>
          <w:iCs/>
          <w:sz w:val="20"/>
          <w:szCs w:val="20"/>
        </w:rPr>
        <w:t>jobactive</w:t>
      </w:r>
      <w:r w:rsidRPr="00826A9D">
        <w:rPr>
          <w:sz w:val="20"/>
          <w:szCs w:val="20"/>
        </w:rPr>
        <w:t xml:space="preserve"> caseload of 15-24yos was 209,345;</w:t>
      </w:r>
      <w:r w:rsidR="00CD6D66" w:rsidRPr="00826A9D">
        <w:rPr>
          <w:rStyle w:val="FootnoteReference"/>
          <w:sz w:val="20"/>
          <w:szCs w:val="20"/>
        </w:rPr>
        <w:footnoteReference w:id="10"/>
      </w:r>
      <w:r w:rsidRPr="00826A9D">
        <w:rPr>
          <w:sz w:val="20"/>
          <w:szCs w:val="20"/>
        </w:rPr>
        <w:t xml:space="preserve"> in DES, the caseload of jobseekers with disability aged 24 and under was 41,911.</w:t>
      </w:r>
      <w:r w:rsidR="00CD6D66" w:rsidRPr="00826A9D">
        <w:rPr>
          <w:rStyle w:val="FootnoteReference"/>
          <w:sz w:val="20"/>
          <w:szCs w:val="20"/>
        </w:rPr>
        <w:footnoteReference w:id="11"/>
      </w:r>
      <w:r w:rsidRPr="00826A9D">
        <w:rPr>
          <w:sz w:val="20"/>
          <w:szCs w:val="20"/>
        </w:rPr>
        <w:t xml:space="preserve"> The</w:t>
      </w:r>
      <w:r w:rsidR="00CD6D66" w:rsidRPr="00826A9D">
        <w:rPr>
          <w:sz w:val="20"/>
          <w:szCs w:val="20"/>
        </w:rPr>
        <w:t xml:space="preserve">se young people are </w:t>
      </w:r>
      <w:r w:rsidR="00284C1B" w:rsidRPr="00826A9D">
        <w:rPr>
          <w:sz w:val="20"/>
          <w:szCs w:val="20"/>
        </w:rPr>
        <w:t xml:space="preserve">vulnerable to exploitation in competing for precarious, </w:t>
      </w:r>
      <w:r w:rsidRPr="00826A9D">
        <w:rPr>
          <w:sz w:val="20"/>
          <w:szCs w:val="20"/>
        </w:rPr>
        <w:t xml:space="preserve">poorly paid </w:t>
      </w:r>
      <w:r w:rsidR="00284C1B" w:rsidRPr="00826A9D">
        <w:rPr>
          <w:sz w:val="20"/>
          <w:szCs w:val="20"/>
        </w:rPr>
        <w:t>jobs</w:t>
      </w:r>
      <w:r w:rsidR="008413C7" w:rsidRPr="00826A9D">
        <w:rPr>
          <w:sz w:val="20"/>
          <w:szCs w:val="20"/>
        </w:rPr>
        <w:t xml:space="preserve"> or unpaid work experience</w:t>
      </w:r>
      <w:r w:rsidR="00284C1B" w:rsidRPr="00826A9D">
        <w:rPr>
          <w:sz w:val="20"/>
          <w:szCs w:val="20"/>
        </w:rPr>
        <w:t xml:space="preserve">. </w:t>
      </w:r>
    </w:p>
    <w:p w14:paraId="206A1BA9" w14:textId="21B3DDF7" w:rsidR="000326E6" w:rsidRDefault="000326E6" w:rsidP="00826A9D">
      <w:pPr>
        <w:pStyle w:val="Default"/>
        <w:tabs>
          <w:tab w:val="left" w:pos="6663"/>
        </w:tabs>
        <w:jc w:val="both"/>
        <w:rPr>
          <w:sz w:val="20"/>
          <w:szCs w:val="20"/>
        </w:rPr>
      </w:pPr>
    </w:p>
    <w:p w14:paraId="0C570FB8" w14:textId="4F0543A7" w:rsidR="000326E6" w:rsidRPr="00826A9D" w:rsidRDefault="000326E6" w:rsidP="00826A9D">
      <w:pPr>
        <w:pStyle w:val="Default"/>
        <w:tabs>
          <w:tab w:val="left" w:pos="6663"/>
        </w:tabs>
        <w:jc w:val="both"/>
        <w:rPr>
          <w:sz w:val="20"/>
          <w:szCs w:val="20"/>
        </w:rPr>
      </w:pPr>
      <w:r>
        <w:rPr>
          <w:sz w:val="20"/>
          <w:szCs w:val="20"/>
        </w:rPr>
        <w:t xml:space="preserve">The interface between education and employment is critical. </w:t>
      </w:r>
      <w:r w:rsidRPr="000326E6">
        <w:rPr>
          <w:sz w:val="20"/>
          <w:szCs w:val="20"/>
        </w:rPr>
        <w:t xml:space="preserve">Many young people with disability leave school without </w:t>
      </w:r>
      <w:r w:rsidR="00637F84">
        <w:rPr>
          <w:sz w:val="20"/>
          <w:szCs w:val="20"/>
        </w:rPr>
        <w:t>essential foundation</w:t>
      </w:r>
      <w:r w:rsidR="00304FFD">
        <w:rPr>
          <w:sz w:val="20"/>
          <w:szCs w:val="20"/>
        </w:rPr>
        <w:t xml:space="preserve">al skills </w:t>
      </w:r>
      <w:r w:rsidR="00637F84">
        <w:rPr>
          <w:sz w:val="20"/>
          <w:szCs w:val="20"/>
        </w:rPr>
        <w:t>for work</w:t>
      </w:r>
      <w:r w:rsidR="00304FFD">
        <w:rPr>
          <w:sz w:val="20"/>
          <w:szCs w:val="20"/>
        </w:rPr>
        <w:t>, with low self-confidence, and with few networks to find ‘hidden job vacancies’ that conservatively constitute one-fifth of all recruitment.</w:t>
      </w:r>
      <w:r w:rsidR="00304FFD">
        <w:rPr>
          <w:rStyle w:val="FootnoteReference"/>
          <w:sz w:val="20"/>
          <w:szCs w:val="20"/>
        </w:rPr>
        <w:footnoteReference w:id="12"/>
      </w:r>
      <w:r w:rsidR="00304FFD">
        <w:rPr>
          <w:sz w:val="20"/>
          <w:szCs w:val="20"/>
        </w:rPr>
        <w:t xml:space="preserve">  </w:t>
      </w:r>
      <w:r w:rsidR="00D22060">
        <w:rPr>
          <w:sz w:val="20"/>
          <w:szCs w:val="20"/>
        </w:rPr>
        <w:t>‘W</w:t>
      </w:r>
      <w:r w:rsidR="00D22060" w:rsidRPr="000326E6">
        <w:rPr>
          <w:sz w:val="20"/>
          <w:szCs w:val="20"/>
        </w:rPr>
        <w:t xml:space="preserve">ork readiness’ </w:t>
      </w:r>
      <w:r w:rsidR="00D22060">
        <w:rPr>
          <w:sz w:val="20"/>
          <w:szCs w:val="20"/>
        </w:rPr>
        <w:t>is a hurdle faced by most</w:t>
      </w:r>
      <w:r w:rsidR="00D22060" w:rsidRPr="000326E6">
        <w:rPr>
          <w:sz w:val="20"/>
          <w:szCs w:val="20"/>
        </w:rPr>
        <w:t xml:space="preserve"> young jobseekers, but </w:t>
      </w:r>
      <w:r w:rsidR="00D22060">
        <w:rPr>
          <w:sz w:val="20"/>
          <w:szCs w:val="20"/>
        </w:rPr>
        <w:t xml:space="preserve">it is compounded for </w:t>
      </w:r>
      <w:r w:rsidR="00D22060" w:rsidRPr="000326E6">
        <w:rPr>
          <w:sz w:val="20"/>
          <w:szCs w:val="20"/>
        </w:rPr>
        <w:t xml:space="preserve">young jobseekers with disability </w:t>
      </w:r>
      <w:r w:rsidR="00D22060">
        <w:rPr>
          <w:sz w:val="20"/>
          <w:szCs w:val="20"/>
        </w:rPr>
        <w:t xml:space="preserve">by social and </w:t>
      </w:r>
      <w:r w:rsidR="00D22060" w:rsidRPr="000326E6">
        <w:rPr>
          <w:sz w:val="20"/>
          <w:szCs w:val="20"/>
        </w:rPr>
        <w:t xml:space="preserve">educational </w:t>
      </w:r>
      <w:r w:rsidR="00D22060">
        <w:rPr>
          <w:sz w:val="20"/>
          <w:szCs w:val="20"/>
        </w:rPr>
        <w:t>marginalisation</w:t>
      </w:r>
      <w:r w:rsidR="00D22060" w:rsidRPr="000326E6">
        <w:rPr>
          <w:sz w:val="20"/>
          <w:szCs w:val="20"/>
        </w:rPr>
        <w:t>.</w:t>
      </w:r>
      <w:r>
        <w:rPr>
          <w:rStyle w:val="FootnoteReference"/>
          <w:sz w:val="20"/>
          <w:szCs w:val="20"/>
        </w:rPr>
        <w:footnoteReference w:id="13"/>
      </w:r>
      <w:r w:rsidR="00631512">
        <w:rPr>
          <w:sz w:val="20"/>
          <w:szCs w:val="20"/>
        </w:rPr>
        <w:t xml:space="preserve"> </w:t>
      </w:r>
      <w:r w:rsidR="00D22060">
        <w:rPr>
          <w:sz w:val="20"/>
          <w:szCs w:val="20"/>
        </w:rPr>
        <w:t>I</w:t>
      </w:r>
      <w:r w:rsidR="00A863AA">
        <w:rPr>
          <w:sz w:val="20"/>
          <w:szCs w:val="20"/>
        </w:rPr>
        <w:t xml:space="preserve">ntensive early investment to bridge that gap will avert snowballing costs stemming from labour market exclusion over </w:t>
      </w:r>
      <w:r w:rsidR="008A037D">
        <w:rPr>
          <w:sz w:val="20"/>
          <w:szCs w:val="20"/>
        </w:rPr>
        <w:t>a</w:t>
      </w:r>
      <w:r w:rsidR="00A863AA">
        <w:rPr>
          <w:sz w:val="20"/>
          <w:szCs w:val="20"/>
        </w:rPr>
        <w:t xml:space="preserve"> young person’s life course.</w:t>
      </w:r>
    </w:p>
    <w:p w14:paraId="06FBB408" w14:textId="0136503C" w:rsidR="00284C1B" w:rsidRPr="00826A9D" w:rsidRDefault="00284C1B" w:rsidP="00826A9D">
      <w:pPr>
        <w:pStyle w:val="Default"/>
        <w:tabs>
          <w:tab w:val="left" w:pos="6663"/>
        </w:tabs>
        <w:jc w:val="both"/>
        <w:rPr>
          <w:sz w:val="20"/>
          <w:szCs w:val="20"/>
        </w:rPr>
      </w:pPr>
    </w:p>
    <w:p w14:paraId="6463AD9A" w14:textId="0F86E4DE" w:rsidR="00284C1B" w:rsidRPr="00826A9D" w:rsidRDefault="00284C1B" w:rsidP="00826A9D">
      <w:pPr>
        <w:pStyle w:val="Default"/>
        <w:tabs>
          <w:tab w:val="left" w:pos="6663"/>
        </w:tabs>
        <w:jc w:val="both"/>
        <w:rPr>
          <w:sz w:val="20"/>
          <w:szCs w:val="20"/>
        </w:rPr>
      </w:pPr>
      <w:r w:rsidRPr="00826A9D">
        <w:rPr>
          <w:sz w:val="20"/>
          <w:szCs w:val="20"/>
        </w:rPr>
        <w:t xml:space="preserve">The type of work available to them matters. Not </w:t>
      </w:r>
      <w:r w:rsidRPr="00826A9D">
        <w:rPr>
          <w:i/>
          <w:iCs/>
          <w:sz w:val="20"/>
          <w:szCs w:val="20"/>
        </w:rPr>
        <w:t>all</w:t>
      </w:r>
      <w:r w:rsidRPr="00826A9D">
        <w:rPr>
          <w:sz w:val="20"/>
          <w:szCs w:val="20"/>
        </w:rPr>
        <w:t xml:space="preserve"> work is beneficial. The right to </w:t>
      </w:r>
      <w:r w:rsidRPr="00826A9D">
        <w:rPr>
          <w:b/>
          <w:bCs/>
          <w:sz w:val="20"/>
          <w:szCs w:val="20"/>
        </w:rPr>
        <w:t>decent work</w:t>
      </w:r>
      <w:r w:rsidRPr="00826A9D">
        <w:rPr>
          <w:sz w:val="20"/>
          <w:szCs w:val="20"/>
        </w:rPr>
        <w:t xml:space="preserve"> </w:t>
      </w:r>
      <w:r w:rsidR="00B8229D">
        <w:rPr>
          <w:sz w:val="20"/>
          <w:szCs w:val="20"/>
        </w:rPr>
        <w:t xml:space="preserve">and scaffolding to achieve this objective </w:t>
      </w:r>
      <w:r w:rsidRPr="00826A9D">
        <w:rPr>
          <w:sz w:val="20"/>
          <w:szCs w:val="20"/>
        </w:rPr>
        <w:t xml:space="preserve">should underpin the </w:t>
      </w:r>
      <w:r w:rsidR="00A96DB1" w:rsidRPr="00826A9D">
        <w:rPr>
          <w:sz w:val="20"/>
          <w:szCs w:val="20"/>
        </w:rPr>
        <w:t xml:space="preserve">entire </w:t>
      </w:r>
      <w:r w:rsidRPr="00826A9D">
        <w:rPr>
          <w:sz w:val="20"/>
          <w:szCs w:val="20"/>
        </w:rPr>
        <w:t>strategy.</w:t>
      </w:r>
      <w:r w:rsidR="00EF18C4">
        <w:rPr>
          <w:rStyle w:val="FootnoteReference"/>
          <w:sz w:val="20"/>
          <w:szCs w:val="20"/>
        </w:rPr>
        <w:footnoteReference w:id="14"/>
      </w:r>
    </w:p>
    <w:p w14:paraId="3B2D4411" w14:textId="77777777" w:rsidR="00B22D18" w:rsidRDefault="00B22D18">
      <w:pPr>
        <w:rPr>
          <w:rFonts w:ascii="Arial" w:hAnsi="Arial" w:cs="Arial"/>
          <w:i/>
          <w:iCs/>
          <w:sz w:val="20"/>
          <w:szCs w:val="20"/>
        </w:rPr>
      </w:pPr>
      <w:r>
        <w:rPr>
          <w:rFonts w:ascii="Arial" w:hAnsi="Arial" w:cs="Arial"/>
          <w:i/>
          <w:iCs/>
          <w:sz w:val="20"/>
          <w:szCs w:val="20"/>
        </w:rPr>
        <w:br w:type="page"/>
      </w:r>
    </w:p>
    <w:p w14:paraId="00E0851F" w14:textId="79974489" w:rsidR="00A900D3" w:rsidRPr="00826A9D" w:rsidRDefault="00A900D3" w:rsidP="00081FD3">
      <w:pPr>
        <w:pStyle w:val="Heading3"/>
      </w:pPr>
      <w:bookmarkStart w:id="10" w:name="_Toc71897325"/>
      <w:r w:rsidRPr="00826A9D">
        <w:lastRenderedPageBreak/>
        <w:t>(3) Improving systems and services for jobseekers and employers</w:t>
      </w:r>
      <w:bookmarkEnd w:id="10"/>
    </w:p>
    <w:p w14:paraId="405FA47E" w14:textId="77777777" w:rsidR="00A900D3" w:rsidRPr="00826A9D" w:rsidRDefault="00A900D3" w:rsidP="00826A9D">
      <w:pPr>
        <w:pStyle w:val="Default"/>
        <w:tabs>
          <w:tab w:val="left" w:pos="6663"/>
        </w:tabs>
        <w:jc w:val="both"/>
        <w:rPr>
          <w:sz w:val="20"/>
          <w:szCs w:val="20"/>
        </w:rPr>
      </w:pPr>
    </w:p>
    <w:p w14:paraId="2C819495" w14:textId="77777777" w:rsidR="00826A9D" w:rsidRDefault="00EA6FF6" w:rsidP="00826A9D">
      <w:pPr>
        <w:pStyle w:val="Default"/>
        <w:tabs>
          <w:tab w:val="left" w:pos="6663"/>
        </w:tabs>
        <w:jc w:val="both"/>
        <w:rPr>
          <w:sz w:val="20"/>
          <w:szCs w:val="20"/>
        </w:rPr>
      </w:pPr>
      <w:r w:rsidRPr="00826A9D">
        <w:rPr>
          <w:sz w:val="20"/>
          <w:szCs w:val="20"/>
        </w:rPr>
        <w:t xml:space="preserve">This priority area surfaces consistently in reforms to </w:t>
      </w:r>
      <w:r w:rsidR="00C67E3F" w:rsidRPr="00826A9D">
        <w:rPr>
          <w:sz w:val="20"/>
          <w:szCs w:val="20"/>
        </w:rPr>
        <w:t xml:space="preserve">market-driven social services, but it is notoriously difficult to operationalise. </w:t>
      </w:r>
    </w:p>
    <w:p w14:paraId="33E2B438" w14:textId="77777777" w:rsidR="00826A9D" w:rsidRDefault="00826A9D" w:rsidP="00826A9D">
      <w:pPr>
        <w:pStyle w:val="Default"/>
        <w:tabs>
          <w:tab w:val="left" w:pos="6663"/>
        </w:tabs>
        <w:jc w:val="both"/>
        <w:rPr>
          <w:sz w:val="20"/>
          <w:szCs w:val="20"/>
        </w:rPr>
      </w:pPr>
    </w:p>
    <w:p w14:paraId="2F037263" w14:textId="5988C364" w:rsidR="00A900D3" w:rsidRPr="00826A9D" w:rsidRDefault="00C67E3F" w:rsidP="00826A9D">
      <w:pPr>
        <w:pStyle w:val="Default"/>
        <w:tabs>
          <w:tab w:val="left" w:pos="6663"/>
        </w:tabs>
        <w:jc w:val="both"/>
        <w:rPr>
          <w:sz w:val="20"/>
          <w:szCs w:val="20"/>
        </w:rPr>
      </w:pPr>
      <w:r w:rsidRPr="00826A9D">
        <w:rPr>
          <w:sz w:val="20"/>
          <w:szCs w:val="20"/>
        </w:rPr>
        <w:t xml:space="preserve">Systems and services </w:t>
      </w:r>
      <w:r w:rsidR="00CD6A05" w:rsidRPr="00826A9D">
        <w:rPr>
          <w:sz w:val="20"/>
          <w:szCs w:val="20"/>
        </w:rPr>
        <w:t xml:space="preserve">available to </w:t>
      </w:r>
      <w:r w:rsidRPr="00826A9D">
        <w:rPr>
          <w:sz w:val="20"/>
          <w:szCs w:val="20"/>
        </w:rPr>
        <w:t>jobseekers and employers are dispersed ac</w:t>
      </w:r>
      <w:r w:rsidR="00A900D3" w:rsidRPr="00826A9D">
        <w:rPr>
          <w:sz w:val="20"/>
          <w:szCs w:val="20"/>
        </w:rPr>
        <w:t>ross sectors and jurisdictions, and m</w:t>
      </w:r>
      <w:r w:rsidRPr="00826A9D">
        <w:rPr>
          <w:sz w:val="20"/>
          <w:szCs w:val="20"/>
        </w:rPr>
        <w:t xml:space="preserve">any </w:t>
      </w:r>
      <w:r w:rsidR="00A900D3" w:rsidRPr="00826A9D">
        <w:rPr>
          <w:sz w:val="20"/>
          <w:szCs w:val="20"/>
        </w:rPr>
        <w:t xml:space="preserve">operate in contestable funding environments. There is no overarching authority to drive progress towards “improving systems and services” and no shared understanding of what that means. This </w:t>
      </w:r>
      <w:r w:rsidRPr="00826A9D">
        <w:rPr>
          <w:sz w:val="20"/>
          <w:szCs w:val="20"/>
        </w:rPr>
        <w:t xml:space="preserve">priority area </w:t>
      </w:r>
      <w:r w:rsidR="00A900D3" w:rsidRPr="00826A9D">
        <w:rPr>
          <w:sz w:val="20"/>
          <w:szCs w:val="20"/>
        </w:rPr>
        <w:t>requires codesign, whole of government stewardship, and clear lines of accountability</w:t>
      </w:r>
      <w:r w:rsidRPr="00826A9D">
        <w:rPr>
          <w:sz w:val="20"/>
          <w:szCs w:val="20"/>
        </w:rPr>
        <w:t xml:space="preserve"> to ensure services are mutually reinforcing</w:t>
      </w:r>
      <w:r w:rsidR="00A900D3" w:rsidRPr="00826A9D">
        <w:rPr>
          <w:sz w:val="20"/>
          <w:szCs w:val="20"/>
        </w:rPr>
        <w:t>.</w:t>
      </w:r>
      <w:r w:rsidRPr="00826A9D">
        <w:rPr>
          <w:sz w:val="20"/>
          <w:szCs w:val="20"/>
        </w:rPr>
        <w:t xml:space="preserve"> </w:t>
      </w:r>
      <w:r w:rsidR="00CD6A05" w:rsidRPr="00826A9D">
        <w:rPr>
          <w:sz w:val="20"/>
          <w:szCs w:val="20"/>
        </w:rPr>
        <w:t>It</w:t>
      </w:r>
      <w:r w:rsidRPr="00826A9D">
        <w:rPr>
          <w:sz w:val="20"/>
          <w:szCs w:val="20"/>
        </w:rPr>
        <w:t xml:space="preserve"> calls for more </w:t>
      </w:r>
      <w:r w:rsidR="00A900D3" w:rsidRPr="00826A9D">
        <w:rPr>
          <w:sz w:val="20"/>
          <w:szCs w:val="20"/>
        </w:rPr>
        <w:t xml:space="preserve">emphasis on </w:t>
      </w:r>
      <w:r w:rsidRPr="00826A9D">
        <w:rPr>
          <w:sz w:val="20"/>
          <w:szCs w:val="20"/>
        </w:rPr>
        <w:t>data</w:t>
      </w:r>
      <w:r w:rsidR="00CD6A05" w:rsidRPr="00826A9D">
        <w:rPr>
          <w:sz w:val="20"/>
          <w:szCs w:val="20"/>
        </w:rPr>
        <w:t xml:space="preserve">, evaluation, and </w:t>
      </w:r>
      <w:r w:rsidR="00A900D3" w:rsidRPr="00826A9D">
        <w:rPr>
          <w:i/>
          <w:iCs/>
          <w:sz w:val="20"/>
          <w:szCs w:val="20"/>
        </w:rPr>
        <w:t>evidence of what works</w:t>
      </w:r>
      <w:r w:rsidRPr="00826A9D">
        <w:rPr>
          <w:i/>
          <w:iCs/>
          <w:sz w:val="20"/>
          <w:szCs w:val="20"/>
        </w:rPr>
        <w:t>,</w:t>
      </w:r>
      <w:r w:rsidR="00A900D3" w:rsidRPr="00826A9D">
        <w:rPr>
          <w:i/>
          <w:iCs/>
          <w:sz w:val="20"/>
          <w:szCs w:val="20"/>
        </w:rPr>
        <w:t xml:space="preserve"> in what context</w:t>
      </w:r>
      <w:r w:rsidRPr="00826A9D">
        <w:rPr>
          <w:i/>
          <w:iCs/>
          <w:sz w:val="20"/>
          <w:szCs w:val="20"/>
        </w:rPr>
        <w:t>,</w:t>
      </w:r>
      <w:r w:rsidR="00A900D3" w:rsidRPr="00826A9D">
        <w:rPr>
          <w:i/>
          <w:iCs/>
          <w:sz w:val="20"/>
          <w:szCs w:val="20"/>
        </w:rPr>
        <w:t xml:space="preserve"> for how many people</w:t>
      </w:r>
      <w:r w:rsidRPr="00826A9D">
        <w:rPr>
          <w:i/>
          <w:iCs/>
          <w:sz w:val="20"/>
          <w:szCs w:val="20"/>
        </w:rPr>
        <w:t>,</w:t>
      </w:r>
      <w:r w:rsidR="00A900D3" w:rsidRPr="00826A9D">
        <w:rPr>
          <w:i/>
          <w:iCs/>
          <w:sz w:val="20"/>
          <w:szCs w:val="20"/>
        </w:rPr>
        <w:t xml:space="preserve"> over what length of time.</w:t>
      </w:r>
      <w:r w:rsidR="00A900D3" w:rsidRPr="00826A9D">
        <w:rPr>
          <w:sz w:val="20"/>
          <w:szCs w:val="20"/>
        </w:rPr>
        <w:t xml:space="preserve"> In contestable funding environments, </w:t>
      </w:r>
      <w:r w:rsidR="00CD6A05" w:rsidRPr="00826A9D">
        <w:rPr>
          <w:sz w:val="20"/>
          <w:szCs w:val="20"/>
        </w:rPr>
        <w:t xml:space="preserve">information </w:t>
      </w:r>
      <w:r w:rsidR="00A900D3" w:rsidRPr="00826A9D">
        <w:rPr>
          <w:sz w:val="20"/>
          <w:szCs w:val="20"/>
        </w:rPr>
        <w:t xml:space="preserve">about citizens and the environment in which they access publicly funded services has private value. We </w:t>
      </w:r>
      <w:r w:rsidR="009D709C">
        <w:rPr>
          <w:sz w:val="20"/>
          <w:szCs w:val="20"/>
        </w:rPr>
        <w:t>cannot</w:t>
      </w:r>
      <w:r w:rsidR="00A900D3" w:rsidRPr="00826A9D">
        <w:rPr>
          <w:sz w:val="20"/>
          <w:szCs w:val="20"/>
        </w:rPr>
        <w:t xml:space="preserve"> rely on piecemeal reporting to understand how citizens who have ‘low market value’ experience and navigate these systems and services. </w:t>
      </w:r>
    </w:p>
    <w:p w14:paraId="2ECB9420" w14:textId="77777777" w:rsidR="00C67E3F" w:rsidRPr="00826A9D" w:rsidRDefault="00C67E3F" w:rsidP="00826A9D">
      <w:pPr>
        <w:pStyle w:val="Default"/>
        <w:tabs>
          <w:tab w:val="left" w:pos="6663"/>
        </w:tabs>
        <w:jc w:val="both"/>
        <w:rPr>
          <w:sz w:val="20"/>
          <w:szCs w:val="20"/>
        </w:rPr>
      </w:pPr>
    </w:p>
    <w:p w14:paraId="3EAE888D" w14:textId="2BD18400" w:rsidR="00A900D3" w:rsidRPr="00256562" w:rsidRDefault="00F50CC3" w:rsidP="00826A9D">
      <w:pPr>
        <w:pStyle w:val="Default"/>
        <w:tabs>
          <w:tab w:val="left" w:pos="6663"/>
        </w:tabs>
        <w:jc w:val="both"/>
        <w:rPr>
          <w:sz w:val="20"/>
          <w:szCs w:val="20"/>
        </w:rPr>
      </w:pPr>
      <w:r w:rsidRPr="00826A9D">
        <w:rPr>
          <w:sz w:val="20"/>
          <w:szCs w:val="20"/>
        </w:rPr>
        <w:t xml:space="preserve">With regard to employers underutilising or bypassing DES in staff recruitment, this is an issue </w:t>
      </w:r>
      <w:r w:rsidR="000457BB" w:rsidRPr="00826A9D">
        <w:rPr>
          <w:sz w:val="20"/>
          <w:szCs w:val="20"/>
        </w:rPr>
        <w:t xml:space="preserve">faced by </w:t>
      </w:r>
      <w:r w:rsidRPr="00826A9D">
        <w:rPr>
          <w:sz w:val="20"/>
          <w:szCs w:val="20"/>
        </w:rPr>
        <w:t>all g</w:t>
      </w:r>
      <w:r w:rsidR="00A900D3" w:rsidRPr="00826A9D">
        <w:rPr>
          <w:sz w:val="20"/>
          <w:szCs w:val="20"/>
        </w:rPr>
        <w:t>overnment funded employment service</w:t>
      </w:r>
      <w:r w:rsidRPr="00826A9D">
        <w:rPr>
          <w:sz w:val="20"/>
          <w:szCs w:val="20"/>
        </w:rPr>
        <w:t>s</w:t>
      </w:r>
      <w:r w:rsidR="00A900D3" w:rsidRPr="00826A9D">
        <w:rPr>
          <w:sz w:val="20"/>
          <w:szCs w:val="20"/>
        </w:rPr>
        <w:t xml:space="preserve">. Only four per cent of employers used the </w:t>
      </w:r>
      <w:r w:rsidR="00A900D3" w:rsidRPr="00826A9D">
        <w:rPr>
          <w:i/>
          <w:iCs/>
          <w:sz w:val="20"/>
          <w:szCs w:val="20"/>
        </w:rPr>
        <w:t>jobactive</w:t>
      </w:r>
      <w:r w:rsidR="00A900D3" w:rsidRPr="00826A9D">
        <w:rPr>
          <w:sz w:val="20"/>
          <w:szCs w:val="20"/>
        </w:rPr>
        <w:t xml:space="preserve"> system in 2018</w:t>
      </w:r>
      <w:r w:rsidRPr="00826A9D">
        <w:rPr>
          <w:sz w:val="20"/>
          <w:szCs w:val="20"/>
        </w:rPr>
        <w:t>, for reasons consistent with those cited in the consultation paper.</w:t>
      </w:r>
      <w:r w:rsidRPr="00826A9D">
        <w:rPr>
          <w:rStyle w:val="FootnoteReference"/>
          <w:sz w:val="20"/>
          <w:szCs w:val="20"/>
        </w:rPr>
        <w:footnoteReference w:id="15"/>
      </w:r>
      <w:r w:rsidR="00A900D3" w:rsidRPr="00826A9D">
        <w:rPr>
          <w:sz w:val="20"/>
          <w:szCs w:val="20"/>
        </w:rPr>
        <w:t xml:space="preserve"> While it is useful for providers to build meaningful relationships with employers to identify and expand opportunities for jobseekers in their caseload to find work, employers </w:t>
      </w:r>
      <w:r w:rsidR="000457BB" w:rsidRPr="00826A9D">
        <w:rPr>
          <w:sz w:val="20"/>
          <w:szCs w:val="20"/>
        </w:rPr>
        <w:t>complain that they a</w:t>
      </w:r>
      <w:r w:rsidR="00A900D3" w:rsidRPr="00826A9D">
        <w:rPr>
          <w:sz w:val="20"/>
          <w:szCs w:val="20"/>
        </w:rPr>
        <w:t xml:space="preserve">re inundated by individual service providers wanting to build </w:t>
      </w:r>
      <w:r w:rsidR="000457BB" w:rsidRPr="00826A9D">
        <w:rPr>
          <w:sz w:val="20"/>
          <w:szCs w:val="20"/>
        </w:rPr>
        <w:t xml:space="preserve">unsolicited </w:t>
      </w:r>
      <w:r w:rsidR="00A900D3" w:rsidRPr="00826A9D">
        <w:rPr>
          <w:sz w:val="20"/>
          <w:szCs w:val="20"/>
        </w:rPr>
        <w:t xml:space="preserve">relationships with them. </w:t>
      </w:r>
      <w:r w:rsidR="000457BB" w:rsidRPr="00826A9D">
        <w:rPr>
          <w:sz w:val="20"/>
          <w:szCs w:val="20"/>
        </w:rPr>
        <w:t xml:space="preserve">Under existing arrangements, </w:t>
      </w:r>
      <w:r w:rsidR="00A900D3" w:rsidRPr="00826A9D">
        <w:rPr>
          <w:sz w:val="20"/>
          <w:szCs w:val="20"/>
        </w:rPr>
        <w:t>private providers compet</w:t>
      </w:r>
      <w:r w:rsidR="00417372">
        <w:rPr>
          <w:sz w:val="20"/>
          <w:szCs w:val="20"/>
        </w:rPr>
        <w:t>e</w:t>
      </w:r>
      <w:r w:rsidR="00A900D3" w:rsidRPr="00826A9D">
        <w:rPr>
          <w:sz w:val="20"/>
          <w:szCs w:val="20"/>
        </w:rPr>
        <w:t xml:space="preserve"> for job placements </w:t>
      </w:r>
      <w:r w:rsidR="000457BB" w:rsidRPr="00826A9D">
        <w:rPr>
          <w:sz w:val="20"/>
          <w:szCs w:val="20"/>
        </w:rPr>
        <w:t>t</w:t>
      </w:r>
      <w:r w:rsidR="00A900D3" w:rsidRPr="00826A9D">
        <w:rPr>
          <w:sz w:val="20"/>
          <w:szCs w:val="20"/>
        </w:rPr>
        <w:t xml:space="preserve">o generate income. </w:t>
      </w:r>
      <w:r w:rsidR="009B3462">
        <w:rPr>
          <w:sz w:val="20"/>
          <w:szCs w:val="20"/>
        </w:rPr>
        <w:t xml:space="preserve">Employers are more likely to engage with </w:t>
      </w:r>
      <w:r w:rsidR="00FA64AD">
        <w:rPr>
          <w:sz w:val="20"/>
          <w:szCs w:val="20"/>
        </w:rPr>
        <w:t xml:space="preserve">employment services if providers </w:t>
      </w:r>
      <w:r w:rsidR="00F16020">
        <w:rPr>
          <w:sz w:val="20"/>
          <w:szCs w:val="20"/>
        </w:rPr>
        <w:t xml:space="preserve">can </w:t>
      </w:r>
      <w:r w:rsidR="00A047D7">
        <w:rPr>
          <w:sz w:val="20"/>
          <w:szCs w:val="20"/>
        </w:rPr>
        <w:t xml:space="preserve">supply </w:t>
      </w:r>
      <w:r w:rsidR="00BE0207">
        <w:rPr>
          <w:sz w:val="20"/>
          <w:szCs w:val="20"/>
        </w:rPr>
        <w:t xml:space="preserve">them with work-ready </w:t>
      </w:r>
      <w:r w:rsidR="00826A9D" w:rsidRPr="00256562">
        <w:rPr>
          <w:sz w:val="20"/>
          <w:szCs w:val="20"/>
        </w:rPr>
        <w:t>jobseekers</w:t>
      </w:r>
      <w:r w:rsidR="00BE0207">
        <w:rPr>
          <w:sz w:val="20"/>
          <w:szCs w:val="20"/>
        </w:rPr>
        <w:t xml:space="preserve"> whose </w:t>
      </w:r>
      <w:r w:rsidR="00CD6A05" w:rsidRPr="00256562">
        <w:rPr>
          <w:sz w:val="20"/>
          <w:szCs w:val="20"/>
        </w:rPr>
        <w:t xml:space="preserve">skills </w:t>
      </w:r>
      <w:r w:rsidR="00A0240C" w:rsidRPr="00256562">
        <w:rPr>
          <w:sz w:val="20"/>
          <w:szCs w:val="20"/>
        </w:rPr>
        <w:t xml:space="preserve">and attributes </w:t>
      </w:r>
      <w:r w:rsidR="00CD6A05" w:rsidRPr="00256562">
        <w:rPr>
          <w:sz w:val="20"/>
          <w:szCs w:val="20"/>
        </w:rPr>
        <w:t xml:space="preserve">to </w:t>
      </w:r>
      <w:r w:rsidR="00BE0207">
        <w:rPr>
          <w:sz w:val="20"/>
          <w:szCs w:val="20"/>
        </w:rPr>
        <w:t>match</w:t>
      </w:r>
      <w:r w:rsidR="00A047D7">
        <w:rPr>
          <w:sz w:val="20"/>
          <w:szCs w:val="20"/>
        </w:rPr>
        <w:t xml:space="preserve"> </w:t>
      </w:r>
      <w:r w:rsidR="00346E01">
        <w:rPr>
          <w:sz w:val="20"/>
          <w:szCs w:val="20"/>
        </w:rPr>
        <w:t xml:space="preserve">immediate </w:t>
      </w:r>
      <w:r w:rsidR="00A047D7">
        <w:rPr>
          <w:sz w:val="20"/>
          <w:szCs w:val="20"/>
        </w:rPr>
        <w:t>job vacancies</w:t>
      </w:r>
      <w:r w:rsidR="00A0240C" w:rsidRPr="00256562">
        <w:rPr>
          <w:sz w:val="20"/>
          <w:szCs w:val="20"/>
        </w:rPr>
        <w:t>, provid</w:t>
      </w:r>
      <w:r w:rsidR="00FA64AD">
        <w:rPr>
          <w:sz w:val="20"/>
          <w:szCs w:val="20"/>
        </w:rPr>
        <w:t>e</w:t>
      </w:r>
      <w:r w:rsidR="00A0240C" w:rsidRPr="00256562">
        <w:rPr>
          <w:sz w:val="20"/>
          <w:szCs w:val="20"/>
        </w:rPr>
        <w:t xml:space="preserve"> advice on </w:t>
      </w:r>
      <w:r w:rsidR="00A047D7">
        <w:rPr>
          <w:sz w:val="20"/>
          <w:szCs w:val="20"/>
        </w:rPr>
        <w:t>workforce trends and the local supply of labour</w:t>
      </w:r>
      <w:r w:rsidR="00346E01">
        <w:rPr>
          <w:sz w:val="20"/>
          <w:szCs w:val="20"/>
        </w:rPr>
        <w:t xml:space="preserve"> for workforce planning</w:t>
      </w:r>
      <w:r w:rsidR="00A047D7">
        <w:rPr>
          <w:sz w:val="20"/>
          <w:szCs w:val="20"/>
        </w:rPr>
        <w:t xml:space="preserve">, and in the case of disability-specific employment services, </w:t>
      </w:r>
      <w:r w:rsidR="00346E01">
        <w:rPr>
          <w:sz w:val="20"/>
          <w:szCs w:val="20"/>
        </w:rPr>
        <w:t xml:space="preserve">provide </w:t>
      </w:r>
      <w:r w:rsidR="00A047D7">
        <w:rPr>
          <w:sz w:val="20"/>
          <w:szCs w:val="20"/>
        </w:rPr>
        <w:t xml:space="preserve">advice on skill-matching and </w:t>
      </w:r>
      <w:r w:rsidR="00A0240C" w:rsidRPr="00256562">
        <w:rPr>
          <w:sz w:val="20"/>
          <w:szCs w:val="20"/>
        </w:rPr>
        <w:t xml:space="preserve">job carving to maximise productivity. </w:t>
      </w:r>
      <w:r w:rsidR="00A047D7">
        <w:rPr>
          <w:sz w:val="20"/>
          <w:szCs w:val="20"/>
        </w:rPr>
        <w:t xml:space="preserve">This approach, underpinned by </w:t>
      </w:r>
      <w:r w:rsidR="00C910CF" w:rsidRPr="00256562">
        <w:rPr>
          <w:sz w:val="20"/>
          <w:szCs w:val="20"/>
        </w:rPr>
        <w:t xml:space="preserve">the </w:t>
      </w:r>
      <w:r w:rsidR="00A900D3" w:rsidRPr="00256562">
        <w:rPr>
          <w:sz w:val="20"/>
          <w:szCs w:val="20"/>
        </w:rPr>
        <w:t xml:space="preserve">capabilities </w:t>
      </w:r>
      <w:r w:rsidR="009B3462">
        <w:rPr>
          <w:sz w:val="20"/>
          <w:szCs w:val="20"/>
        </w:rPr>
        <w:t xml:space="preserve">or strength-based </w:t>
      </w:r>
      <w:r w:rsidR="00A900D3" w:rsidRPr="00256562">
        <w:rPr>
          <w:sz w:val="20"/>
          <w:szCs w:val="20"/>
        </w:rPr>
        <w:t>model</w:t>
      </w:r>
      <w:r w:rsidR="00346E01">
        <w:rPr>
          <w:sz w:val="20"/>
          <w:szCs w:val="20"/>
        </w:rPr>
        <w:t xml:space="preserve"> of recruitment</w:t>
      </w:r>
      <w:r w:rsidR="00C910CF" w:rsidRPr="00256562">
        <w:rPr>
          <w:sz w:val="20"/>
          <w:szCs w:val="20"/>
        </w:rPr>
        <w:t>, h</w:t>
      </w:r>
      <w:r w:rsidR="00A0240C" w:rsidRPr="00256562">
        <w:rPr>
          <w:sz w:val="20"/>
          <w:szCs w:val="20"/>
        </w:rPr>
        <w:t>as a successful track record in employment initiatives focused on neurodiversity.</w:t>
      </w:r>
      <w:r w:rsidR="00A0240C" w:rsidRPr="00256562">
        <w:rPr>
          <w:rStyle w:val="FootnoteReference"/>
          <w:sz w:val="20"/>
          <w:szCs w:val="20"/>
        </w:rPr>
        <w:footnoteReference w:id="16"/>
      </w:r>
      <w:r w:rsidR="00A0240C" w:rsidRPr="00256562">
        <w:rPr>
          <w:sz w:val="20"/>
          <w:szCs w:val="20"/>
        </w:rPr>
        <w:t xml:space="preserve"> </w:t>
      </w:r>
      <w:r w:rsidR="00346E01" w:rsidRPr="00256562">
        <w:rPr>
          <w:sz w:val="20"/>
          <w:szCs w:val="20"/>
        </w:rPr>
        <w:t xml:space="preserve">Expanding this model to encompass people with other forms of disability could significantly improve their employment prospects, although </w:t>
      </w:r>
      <w:r w:rsidR="00346E01">
        <w:rPr>
          <w:sz w:val="20"/>
          <w:szCs w:val="20"/>
        </w:rPr>
        <w:t xml:space="preserve">we caution that it is not a silver bullet. </w:t>
      </w:r>
      <w:r w:rsidR="006E6AF4">
        <w:rPr>
          <w:sz w:val="20"/>
          <w:szCs w:val="20"/>
        </w:rPr>
        <w:t>The first challenge is that care</w:t>
      </w:r>
      <w:r w:rsidR="00346E01" w:rsidRPr="00256562">
        <w:rPr>
          <w:sz w:val="20"/>
          <w:szCs w:val="20"/>
        </w:rPr>
        <w:t xml:space="preserve"> must be taken at the frontline of service delivery to ensure that seeking ‘goodness of fit’ for available work does not restrict jobseekers’ employment opportunities based on assumptions about their skills and interests in relation to their disability</w:t>
      </w:r>
      <w:r w:rsidR="006E6AF4">
        <w:rPr>
          <w:sz w:val="20"/>
          <w:szCs w:val="20"/>
        </w:rPr>
        <w:t>, or exploit their disadvantage in the job market</w:t>
      </w:r>
      <w:r w:rsidR="00346E01" w:rsidRPr="00256562">
        <w:rPr>
          <w:sz w:val="20"/>
          <w:szCs w:val="20"/>
        </w:rPr>
        <w:t>.</w:t>
      </w:r>
      <w:r w:rsidR="00346E01">
        <w:rPr>
          <w:sz w:val="20"/>
          <w:szCs w:val="20"/>
        </w:rPr>
        <w:t xml:space="preserve"> </w:t>
      </w:r>
      <w:r w:rsidR="006E6AF4">
        <w:rPr>
          <w:sz w:val="20"/>
          <w:szCs w:val="20"/>
        </w:rPr>
        <w:t xml:space="preserve">The second consideration is that the competitive, outcomes-based, ‘work first’ funding and performance management regimes under which </w:t>
      </w:r>
      <w:r w:rsidR="006E6AF4" w:rsidRPr="00256562">
        <w:rPr>
          <w:sz w:val="20"/>
          <w:szCs w:val="20"/>
        </w:rPr>
        <w:t xml:space="preserve">DES </w:t>
      </w:r>
      <w:r w:rsidR="006E6AF4">
        <w:rPr>
          <w:sz w:val="20"/>
          <w:szCs w:val="20"/>
        </w:rPr>
        <w:t>and</w:t>
      </w:r>
      <w:r w:rsidR="006E6AF4" w:rsidRPr="00256562">
        <w:rPr>
          <w:sz w:val="20"/>
          <w:szCs w:val="20"/>
        </w:rPr>
        <w:t xml:space="preserve"> </w:t>
      </w:r>
      <w:r w:rsidR="006E6AF4" w:rsidRPr="00256562">
        <w:rPr>
          <w:i/>
          <w:iCs/>
          <w:sz w:val="20"/>
          <w:szCs w:val="20"/>
        </w:rPr>
        <w:t xml:space="preserve">jobactive </w:t>
      </w:r>
      <w:r w:rsidR="006E6AF4" w:rsidRPr="009203F8">
        <w:rPr>
          <w:sz w:val="20"/>
          <w:szCs w:val="20"/>
        </w:rPr>
        <w:t xml:space="preserve">providers </w:t>
      </w:r>
      <w:r w:rsidR="006E6AF4">
        <w:rPr>
          <w:sz w:val="20"/>
          <w:szCs w:val="20"/>
        </w:rPr>
        <w:t xml:space="preserve">operate, shaped by government contracts, reporting mechanisms, and payment processes, do not reward providers for that careful and resource-intensive work. </w:t>
      </w:r>
      <w:r w:rsidR="00346E01">
        <w:rPr>
          <w:sz w:val="20"/>
          <w:szCs w:val="20"/>
        </w:rPr>
        <w:t xml:space="preserve">However, evidence suggests that a coordinated approach to working with employers on this front should be trialled in DES and </w:t>
      </w:r>
      <w:r w:rsidR="00346E01" w:rsidRPr="00C1694F">
        <w:rPr>
          <w:i/>
          <w:iCs/>
          <w:sz w:val="20"/>
          <w:szCs w:val="20"/>
        </w:rPr>
        <w:t>jobactive</w:t>
      </w:r>
      <w:r w:rsidR="00346E01">
        <w:rPr>
          <w:i/>
          <w:iCs/>
          <w:sz w:val="20"/>
          <w:szCs w:val="20"/>
        </w:rPr>
        <w:t xml:space="preserve">. </w:t>
      </w:r>
      <w:bookmarkStart w:id="11" w:name="_Hlk71807469"/>
    </w:p>
    <w:bookmarkEnd w:id="11"/>
    <w:p w14:paraId="76092F51" w14:textId="59691AFA" w:rsidR="00826A9D" w:rsidRDefault="00826A9D" w:rsidP="00826A9D">
      <w:pPr>
        <w:pStyle w:val="Default"/>
        <w:tabs>
          <w:tab w:val="left" w:pos="6663"/>
        </w:tabs>
        <w:jc w:val="both"/>
        <w:rPr>
          <w:sz w:val="20"/>
          <w:szCs w:val="20"/>
        </w:rPr>
      </w:pPr>
    </w:p>
    <w:p w14:paraId="48B95859" w14:textId="15925DCB" w:rsidR="00A900D3" w:rsidRPr="00826A9D" w:rsidRDefault="00614525" w:rsidP="00826A9D">
      <w:pPr>
        <w:pStyle w:val="Default"/>
        <w:tabs>
          <w:tab w:val="left" w:pos="6663"/>
        </w:tabs>
        <w:jc w:val="both"/>
        <w:rPr>
          <w:sz w:val="20"/>
          <w:szCs w:val="20"/>
        </w:rPr>
      </w:pPr>
      <w:r>
        <w:rPr>
          <w:sz w:val="20"/>
          <w:szCs w:val="20"/>
        </w:rPr>
        <w:t>Finally, g</w:t>
      </w:r>
      <w:r w:rsidR="00826A9D" w:rsidRPr="00826A9D">
        <w:rPr>
          <w:sz w:val="20"/>
          <w:szCs w:val="20"/>
        </w:rPr>
        <w:t xml:space="preserve">iven the rise in </w:t>
      </w:r>
      <w:r w:rsidR="00C910CF">
        <w:rPr>
          <w:sz w:val="20"/>
          <w:szCs w:val="20"/>
        </w:rPr>
        <w:t>insecure</w:t>
      </w:r>
      <w:r w:rsidR="00826A9D" w:rsidRPr="00826A9D">
        <w:rPr>
          <w:sz w:val="20"/>
          <w:szCs w:val="20"/>
        </w:rPr>
        <w:t xml:space="preserve"> </w:t>
      </w:r>
      <w:r w:rsidR="00C910CF">
        <w:rPr>
          <w:sz w:val="20"/>
          <w:szCs w:val="20"/>
        </w:rPr>
        <w:t xml:space="preserve">and short-term </w:t>
      </w:r>
      <w:r w:rsidR="00826A9D" w:rsidRPr="00826A9D">
        <w:rPr>
          <w:sz w:val="20"/>
          <w:szCs w:val="20"/>
        </w:rPr>
        <w:t xml:space="preserve">employment, </w:t>
      </w:r>
      <w:r w:rsidR="00826A9D">
        <w:rPr>
          <w:sz w:val="20"/>
          <w:szCs w:val="20"/>
        </w:rPr>
        <w:t xml:space="preserve">streamlining systems and services should </w:t>
      </w:r>
      <w:r w:rsidR="000843C9">
        <w:rPr>
          <w:sz w:val="20"/>
          <w:szCs w:val="20"/>
        </w:rPr>
        <w:t>be extended t</w:t>
      </w:r>
      <w:r w:rsidR="00826A9D">
        <w:rPr>
          <w:sz w:val="20"/>
          <w:szCs w:val="20"/>
        </w:rPr>
        <w:t xml:space="preserve">o income support. People cycling in and out of </w:t>
      </w:r>
      <w:r w:rsidR="00C910CF">
        <w:rPr>
          <w:sz w:val="20"/>
          <w:szCs w:val="20"/>
        </w:rPr>
        <w:t xml:space="preserve">precarious </w:t>
      </w:r>
      <w:r w:rsidR="00826A9D">
        <w:rPr>
          <w:sz w:val="20"/>
          <w:szCs w:val="20"/>
        </w:rPr>
        <w:t xml:space="preserve">work to meet mutual obligation requirements, or those only able to work episodically, </w:t>
      </w:r>
      <w:r w:rsidR="00C910CF">
        <w:rPr>
          <w:sz w:val="20"/>
          <w:szCs w:val="20"/>
        </w:rPr>
        <w:t xml:space="preserve">need </w:t>
      </w:r>
      <w:r w:rsidR="00826A9D">
        <w:rPr>
          <w:sz w:val="20"/>
          <w:szCs w:val="20"/>
        </w:rPr>
        <w:t xml:space="preserve">to move </w:t>
      </w:r>
      <w:r w:rsidR="00A900D3" w:rsidRPr="00826A9D">
        <w:rPr>
          <w:sz w:val="20"/>
          <w:szCs w:val="20"/>
        </w:rPr>
        <w:t>seamlessly between welfare and paid work when necessary.</w:t>
      </w:r>
      <w:r w:rsidR="000843C9">
        <w:rPr>
          <w:sz w:val="20"/>
          <w:szCs w:val="20"/>
        </w:rPr>
        <w:t xml:space="preserve"> This would address, in part, perverse incentives in the tax and transfer system for people with disability to remain out of the labour force.</w:t>
      </w:r>
    </w:p>
    <w:p w14:paraId="3A8109B6" w14:textId="77777777" w:rsidR="00826A9D" w:rsidRDefault="00826A9D" w:rsidP="00B81F2C">
      <w:pPr>
        <w:pStyle w:val="Default"/>
        <w:rPr>
          <w:sz w:val="20"/>
          <w:szCs w:val="20"/>
        </w:rPr>
      </w:pPr>
    </w:p>
    <w:p w14:paraId="25BFDDEB" w14:textId="0A142A5A" w:rsidR="00A900D3" w:rsidRPr="00826A9D" w:rsidRDefault="00A900D3" w:rsidP="00081FD3">
      <w:pPr>
        <w:pStyle w:val="Heading3"/>
      </w:pPr>
      <w:bookmarkStart w:id="12" w:name="_Toc71897326"/>
      <w:r w:rsidRPr="00826A9D">
        <w:t>(4) Changing community attitudes:</w:t>
      </w:r>
      <w:bookmarkEnd w:id="12"/>
    </w:p>
    <w:p w14:paraId="4CB15112" w14:textId="77777777" w:rsidR="00A900D3" w:rsidRPr="00826A9D" w:rsidRDefault="00A900D3" w:rsidP="00A900D3">
      <w:pPr>
        <w:spacing w:after="0" w:line="240" w:lineRule="auto"/>
        <w:rPr>
          <w:rFonts w:ascii="Arial" w:hAnsi="Arial" w:cs="Arial"/>
          <w:sz w:val="20"/>
          <w:szCs w:val="20"/>
        </w:rPr>
      </w:pPr>
    </w:p>
    <w:p w14:paraId="647F1194" w14:textId="6E8BA051" w:rsidR="001C3C7D" w:rsidRDefault="001C3C7D" w:rsidP="001C3C7D">
      <w:pPr>
        <w:spacing w:after="0" w:line="240" w:lineRule="auto"/>
        <w:jc w:val="both"/>
        <w:rPr>
          <w:rFonts w:ascii="Arial" w:hAnsi="Arial" w:cs="Arial"/>
          <w:sz w:val="20"/>
          <w:szCs w:val="20"/>
        </w:rPr>
      </w:pPr>
      <w:r>
        <w:rPr>
          <w:rFonts w:ascii="Arial" w:hAnsi="Arial" w:cs="Arial"/>
          <w:sz w:val="20"/>
          <w:szCs w:val="20"/>
        </w:rPr>
        <w:t xml:space="preserve">We agree that addressing discrimination, prejudice, and negative attitudes towards disability is critical </w:t>
      </w:r>
      <w:r w:rsidR="00EC0A95">
        <w:rPr>
          <w:rFonts w:ascii="Arial" w:hAnsi="Arial" w:cs="Arial"/>
          <w:sz w:val="20"/>
          <w:szCs w:val="20"/>
        </w:rPr>
        <w:t xml:space="preserve">to expand </w:t>
      </w:r>
      <w:r>
        <w:rPr>
          <w:rFonts w:ascii="Arial" w:hAnsi="Arial" w:cs="Arial"/>
          <w:sz w:val="20"/>
          <w:szCs w:val="20"/>
        </w:rPr>
        <w:t>employment opportunities for people with disability. However, we sound a note of caution in jumping imm</w:t>
      </w:r>
      <w:r w:rsidR="00D05567">
        <w:rPr>
          <w:rFonts w:ascii="Arial" w:hAnsi="Arial" w:cs="Arial"/>
          <w:sz w:val="20"/>
          <w:szCs w:val="20"/>
        </w:rPr>
        <w:t>ediately to proposals for broad-</w:t>
      </w:r>
      <w:r>
        <w:rPr>
          <w:rFonts w:ascii="Arial" w:hAnsi="Arial" w:cs="Arial"/>
          <w:sz w:val="20"/>
          <w:szCs w:val="20"/>
        </w:rPr>
        <w:t>based community “awareness” campaigns or public “education” campaigns. Without a strong evidence-based theory of change, a clear and demonstrable link to the behavioural change desired</w:t>
      </w:r>
      <w:r w:rsidR="00EC0A95">
        <w:rPr>
          <w:rFonts w:ascii="Arial" w:hAnsi="Arial" w:cs="Arial"/>
          <w:sz w:val="20"/>
          <w:szCs w:val="20"/>
        </w:rPr>
        <w:t>,</w:t>
      </w:r>
      <w:r>
        <w:rPr>
          <w:rFonts w:ascii="Arial" w:hAnsi="Arial" w:cs="Arial"/>
          <w:sz w:val="20"/>
          <w:szCs w:val="20"/>
        </w:rPr>
        <w:t xml:space="preserve"> a</w:t>
      </w:r>
      <w:r w:rsidR="00EC0A95">
        <w:rPr>
          <w:rFonts w:ascii="Arial" w:hAnsi="Arial" w:cs="Arial"/>
          <w:sz w:val="20"/>
          <w:szCs w:val="20"/>
        </w:rPr>
        <w:t xml:space="preserve">nd the </w:t>
      </w:r>
      <w:r>
        <w:rPr>
          <w:rFonts w:ascii="Arial" w:hAnsi="Arial" w:cs="Arial"/>
          <w:sz w:val="20"/>
          <w:szCs w:val="20"/>
        </w:rPr>
        <w:t>resources required to support that change, such campaigns are rarely effective. Worse still</w:t>
      </w:r>
      <w:r w:rsidR="00EC0A95">
        <w:rPr>
          <w:rFonts w:ascii="Arial" w:hAnsi="Arial" w:cs="Arial"/>
          <w:sz w:val="20"/>
          <w:szCs w:val="20"/>
        </w:rPr>
        <w:t>,</w:t>
      </w:r>
      <w:r>
        <w:rPr>
          <w:rFonts w:ascii="Arial" w:hAnsi="Arial" w:cs="Arial"/>
          <w:sz w:val="20"/>
          <w:szCs w:val="20"/>
        </w:rPr>
        <w:t xml:space="preserve"> they drain limited resources from other more effective interventions. Finally, if any action is taken in this priority area it </w:t>
      </w:r>
      <w:r>
        <w:rPr>
          <w:rFonts w:ascii="Arial" w:hAnsi="Arial" w:cs="Arial"/>
          <w:b/>
          <w:sz w:val="20"/>
          <w:szCs w:val="20"/>
        </w:rPr>
        <w:t>must</w:t>
      </w:r>
      <w:r>
        <w:rPr>
          <w:rFonts w:ascii="Arial" w:hAnsi="Arial" w:cs="Arial"/>
          <w:sz w:val="20"/>
          <w:szCs w:val="20"/>
        </w:rPr>
        <w:t xml:space="preserve"> be explicitly tied to Australia’s obligations under the UNCRPD and codesigned with people with disability. </w:t>
      </w:r>
    </w:p>
    <w:p w14:paraId="0D1C1BE1" w14:textId="77777777" w:rsidR="00C910CF" w:rsidRPr="00826A9D" w:rsidRDefault="00C910CF" w:rsidP="00C910CF">
      <w:pPr>
        <w:pStyle w:val="Default"/>
        <w:rPr>
          <w:sz w:val="20"/>
          <w:szCs w:val="20"/>
        </w:rPr>
      </w:pPr>
    </w:p>
    <w:p w14:paraId="451F1681" w14:textId="54AF268F" w:rsidR="0008505E" w:rsidRDefault="0008505E" w:rsidP="00A40335">
      <w:pPr>
        <w:pStyle w:val="Heading1"/>
      </w:pPr>
      <w:bookmarkStart w:id="13" w:name="_Toc71897327"/>
    </w:p>
    <w:p w14:paraId="5E6711AA" w14:textId="77777777" w:rsidR="0008505E" w:rsidRPr="0008505E" w:rsidRDefault="0008505E" w:rsidP="0008505E"/>
    <w:p w14:paraId="476BB7C5" w14:textId="26A939E7" w:rsidR="003944F0" w:rsidRPr="00826A9D" w:rsidRDefault="00397F6E" w:rsidP="00A40335">
      <w:pPr>
        <w:pStyle w:val="Heading1"/>
      </w:pPr>
      <w:r>
        <w:t>Our r</w:t>
      </w:r>
      <w:r w:rsidR="003944F0" w:rsidRPr="00826A9D">
        <w:t>ecommendations</w:t>
      </w:r>
      <w:r w:rsidR="007529C0">
        <w:t xml:space="preserve"> to strengthen the strategy</w:t>
      </w:r>
      <w:bookmarkEnd w:id="13"/>
    </w:p>
    <w:p w14:paraId="0A75DFA7" w14:textId="77777777" w:rsidR="003944F0" w:rsidRPr="00826A9D" w:rsidRDefault="003944F0" w:rsidP="00202331">
      <w:pPr>
        <w:spacing w:after="0" w:line="240" w:lineRule="auto"/>
        <w:jc w:val="both"/>
        <w:rPr>
          <w:rFonts w:ascii="Arial" w:hAnsi="Arial" w:cs="Arial"/>
          <w:b/>
          <w:bCs/>
          <w:sz w:val="20"/>
          <w:szCs w:val="20"/>
        </w:rPr>
      </w:pPr>
    </w:p>
    <w:p w14:paraId="0F3D5301" w14:textId="3B79EFFF" w:rsidR="00202331" w:rsidRPr="00EF18C4" w:rsidRDefault="00202331" w:rsidP="00561E21">
      <w:pPr>
        <w:pStyle w:val="ListParagraph"/>
        <w:numPr>
          <w:ilvl w:val="0"/>
          <w:numId w:val="11"/>
        </w:numPr>
        <w:tabs>
          <w:tab w:val="left" w:pos="6663"/>
        </w:tabs>
        <w:spacing w:after="0" w:line="240" w:lineRule="auto"/>
        <w:ind w:left="360"/>
        <w:jc w:val="both"/>
        <w:rPr>
          <w:rFonts w:ascii="Arial" w:hAnsi="Arial" w:cs="Arial"/>
          <w:sz w:val="20"/>
          <w:szCs w:val="20"/>
        </w:rPr>
      </w:pPr>
      <w:r>
        <w:rPr>
          <w:rFonts w:ascii="Arial" w:hAnsi="Arial" w:cs="Arial"/>
          <w:bCs/>
          <w:sz w:val="20"/>
          <w:szCs w:val="20"/>
        </w:rPr>
        <w:t>People with disability must be actively engaged in shaping and championing the strategy</w:t>
      </w:r>
      <w:r w:rsidR="00FB0C66">
        <w:rPr>
          <w:rFonts w:ascii="Arial" w:hAnsi="Arial" w:cs="Arial"/>
          <w:bCs/>
          <w:sz w:val="20"/>
          <w:szCs w:val="20"/>
        </w:rPr>
        <w:t>, and have a clear and public leadership role in its design and implementation. They have expert knowledge about the barriers to work they face</w:t>
      </w:r>
      <w:r>
        <w:rPr>
          <w:rFonts w:ascii="Arial" w:hAnsi="Arial" w:cs="Arial"/>
          <w:bCs/>
          <w:sz w:val="20"/>
          <w:szCs w:val="20"/>
        </w:rPr>
        <w:t>.</w:t>
      </w:r>
      <w:r w:rsidR="00FB0C66">
        <w:rPr>
          <w:rFonts w:ascii="Arial" w:hAnsi="Arial" w:cs="Arial"/>
          <w:bCs/>
          <w:sz w:val="20"/>
          <w:szCs w:val="20"/>
        </w:rPr>
        <w:t xml:space="preserve"> </w:t>
      </w:r>
    </w:p>
    <w:p w14:paraId="4FF8DBD5" w14:textId="77777777" w:rsidR="00EF18C4" w:rsidRPr="00EF18C4" w:rsidRDefault="00EF18C4" w:rsidP="00EF18C4">
      <w:pPr>
        <w:tabs>
          <w:tab w:val="left" w:pos="6663"/>
        </w:tabs>
        <w:spacing w:after="0" w:line="240" w:lineRule="auto"/>
        <w:jc w:val="both"/>
        <w:rPr>
          <w:rFonts w:ascii="Arial" w:hAnsi="Arial" w:cs="Arial"/>
          <w:sz w:val="20"/>
          <w:szCs w:val="20"/>
        </w:rPr>
      </w:pPr>
    </w:p>
    <w:p w14:paraId="557D7504" w14:textId="2307CE10" w:rsidR="00EF18C4" w:rsidRPr="00EF18C4" w:rsidRDefault="00EF18C4" w:rsidP="00E93226">
      <w:pPr>
        <w:pStyle w:val="ListParagraph"/>
        <w:numPr>
          <w:ilvl w:val="0"/>
          <w:numId w:val="11"/>
        </w:numPr>
        <w:tabs>
          <w:tab w:val="left" w:pos="6663"/>
        </w:tabs>
        <w:spacing w:after="0" w:line="240" w:lineRule="auto"/>
        <w:ind w:left="360"/>
        <w:jc w:val="both"/>
        <w:rPr>
          <w:rFonts w:ascii="Arial" w:hAnsi="Arial" w:cs="Arial"/>
          <w:sz w:val="20"/>
          <w:szCs w:val="20"/>
        </w:rPr>
      </w:pPr>
      <w:r w:rsidRPr="00EF18C4">
        <w:rPr>
          <w:rFonts w:ascii="Arial" w:hAnsi="Arial" w:cs="Arial"/>
          <w:bCs/>
          <w:sz w:val="20"/>
          <w:szCs w:val="20"/>
        </w:rPr>
        <w:t xml:space="preserve">The right to </w:t>
      </w:r>
      <w:r w:rsidRPr="00EF18C4">
        <w:rPr>
          <w:rFonts w:ascii="Arial" w:hAnsi="Arial" w:cs="Arial"/>
          <w:b/>
          <w:sz w:val="20"/>
          <w:szCs w:val="20"/>
        </w:rPr>
        <w:t>decent work</w:t>
      </w:r>
      <w:r w:rsidRPr="00EF18C4">
        <w:rPr>
          <w:rFonts w:ascii="Arial" w:hAnsi="Arial" w:cs="Arial"/>
          <w:bCs/>
          <w:sz w:val="20"/>
          <w:szCs w:val="20"/>
        </w:rPr>
        <w:t xml:space="preserve"> should underpin the strategy.</w:t>
      </w:r>
    </w:p>
    <w:p w14:paraId="5AB6E1DB" w14:textId="77777777" w:rsidR="00202331" w:rsidRPr="00202331" w:rsidRDefault="00202331" w:rsidP="00561E21">
      <w:pPr>
        <w:tabs>
          <w:tab w:val="left" w:pos="6663"/>
        </w:tabs>
        <w:spacing w:after="0" w:line="240" w:lineRule="auto"/>
        <w:jc w:val="both"/>
        <w:rPr>
          <w:rFonts w:ascii="Arial" w:hAnsi="Arial" w:cs="Arial"/>
          <w:sz w:val="20"/>
          <w:szCs w:val="20"/>
        </w:rPr>
      </w:pPr>
    </w:p>
    <w:p w14:paraId="6CC06D52" w14:textId="17A24556" w:rsidR="00202331" w:rsidRDefault="00202331" w:rsidP="00561E21">
      <w:pPr>
        <w:pStyle w:val="ListParagraph"/>
        <w:numPr>
          <w:ilvl w:val="0"/>
          <w:numId w:val="11"/>
        </w:numPr>
        <w:tabs>
          <w:tab w:val="left" w:pos="6663"/>
        </w:tabs>
        <w:spacing w:after="0" w:line="240" w:lineRule="auto"/>
        <w:ind w:left="360"/>
        <w:jc w:val="both"/>
        <w:rPr>
          <w:rFonts w:ascii="Arial" w:hAnsi="Arial" w:cs="Arial"/>
          <w:bCs/>
          <w:sz w:val="20"/>
          <w:szCs w:val="20"/>
        </w:rPr>
      </w:pPr>
      <w:r w:rsidRPr="00FB0C66">
        <w:rPr>
          <w:rFonts w:ascii="Arial" w:hAnsi="Arial" w:cs="Arial"/>
          <w:bCs/>
          <w:sz w:val="20"/>
          <w:szCs w:val="20"/>
        </w:rPr>
        <w:t xml:space="preserve">Include </w:t>
      </w:r>
      <w:r w:rsidRPr="00B61FB1">
        <w:rPr>
          <w:rFonts w:ascii="Arial" w:hAnsi="Arial" w:cs="Arial"/>
          <w:bCs/>
          <w:i/>
          <w:iCs/>
          <w:sz w:val="20"/>
          <w:szCs w:val="20"/>
        </w:rPr>
        <w:t>actionable</w:t>
      </w:r>
      <w:r w:rsidRPr="00FB0C66">
        <w:rPr>
          <w:rFonts w:ascii="Arial" w:hAnsi="Arial" w:cs="Arial"/>
          <w:bCs/>
          <w:sz w:val="20"/>
          <w:szCs w:val="20"/>
        </w:rPr>
        <w:t xml:space="preserve"> </w:t>
      </w:r>
      <w:r w:rsidR="007529C0" w:rsidRPr="00FB0C66">
        <w:rPr>
          <w:rFonts w:ascii="Arial" w:hAnsi="Arial" w:cs="Arial"/>
          <w:sz w:val="20"/>
          <w:szCs w:val="20"/>
        </w:rPr>
        <w:t>steps to ensure that people with disability are included in plans for economic recovery</w:t>
      </w:r>
      <w:r w:rsidR="000A6072">
        <w:rPr>
          <w:rFonts w:ascii="Arial" w:hAnsi="Arial" w:cs="Arial"/>
          <w:sz w:val="20"/>
          <w:szCs w:val="20"/>
        </w:rPr>
        <w:t xml:space="preserve"> and reducing the unemployment rate </w:t>
      </w:r>
      <w:r w:rsidRPr="00FB0C66">
        <w:rPr>
          <w:rFonts w:ascii="Arial" w:hAnsi="Arial" w:cs="Arial"/>
          <w:sz w:val="20"/>
          <w:szCs w:val="20"/>
        </w:rPr>
        <w:t>during and in the wake of the COVID-19 pandemic</w:t>
      </w:r>
      <w:r w:rsidR="007529C0" w:rsidRPr="00FB0C66">
        <w:rPr>
          <w:rFonts w:ascii="Arial" w:hAnsi="Arial" w:cs="Arial"/>
          <w:sz w:val="20"/>
          <w:szCs w:val="20"/>
        </w:rPr>
        <w:t>.</w:t>
      </w:r>
      <w:r w:rsidR="00FB0C66" w:rsidRPr="00FB0C66">
        <w:rPr>
          <w:rFonts w:ascii="Arial" w:hAnsi="Arial" w:cs="Arial"/>
          <w:sz w:val="20"/>
          <w:szCs w:val="20"/>
        </w:rPr>
        <w:t xml:space="preserve"> </w:t>
      </w:r>
      <w:r w:rsidR="007529C0" w:rsidRPr="00FB0C66">
        <w:rPr>
          <w:rFonts w:ascii="Arial" w:hAnsi="Arial" w:cs="Arial"/>
          <w:bCs/>
          <w:sz w:val="20"/>
          <w:szCs w:val="20"/>
        </w:rPr>
        <w:t>In the absence of a Job Guarantee for people with disability, efforts to improve their prospects of finding and keeping work must be underpinned by consultative, coordinated and data-driven effort on a national and international scale</w:t>
      </w:r>
      <w:r w:rsidR="00D745B2">
        <w:rPr>
          <w:rFonts w:ascii="Arial" w:hAnsi="Arial" w:cs="Arial"/>
          <w:bCs/>
          <w:sz w:val="20"/>
          <w:szCs w:val="20"/>
        </w:rPr>
        <w:t xml:space="preserve">, focused on </w:t>
      </w:r>
      <w:r w:rsidR="00657862">
        <w:rPr>
          <w:rFonts w:ascii="Arial" w:hAnsi="Arial" w:cs="Arial"/>
          <w:bCs/>
          <w:sz w:val="20"/>
          <w:szCs w:val="20"/>
        </w:rPr>
        <w:t>shaping the future of work</w:t>
      </w:r>
      <w:r w:rsidR="007529C0" w:rsidRPr="00FB0C66">
        <w:rPr>
          <w:rFonts w:ascii="Arial" w:hAnsi="Arial" w:cs="Arial"/>
          <w:bCs/>
          <w:sz w:val="20"/>
          <w:szCs w:val="20"/>
        </w:rPr>
        <w:t xml:space="preserve">. </w:t>
      </w:r>
      <w:r w:rsidRPr="00FB0C66">
        <w:rPr>
          <w:rFonts w:ascii="Arial" w:hAnsi="Arial" w:cs="Arial"/>
          <w:bCs/>
          <w:sz w:val="20"/>
          <w:szCs w:val="20"/>
        </w:rPr>
        <w:t xml:space="preserve">This could include consideration of </w:t>
      </w:r>
      <w:r w:rsidR="00B61FB1">
        <w:rPr>
          <w:rFonts w:ascii="Arial" w:hAnsi="Arial" w:cs="Arial"/>
          <w:bCs/>
          <w:sz w:val="20"/>
          <w:szCs w:val="20"/>
        </w:rPr>
        <w:t xml:space="preserve">related </w:t>
      </w:r>
      <w:r w:rsidRPr="00FB0C66">
        <w:rPr>
          <w:rFonts w:ascii="Arial" w:hAnsi="Arial" w:cs="Arial"/>
          <w:bCs/>
          <w:sz w:val="20"/>
          <w:szCs w:val="20"/>
        </w:rPr>
        <w:t xml:space="preserve">incentives or demerits for employers linked to the quadruple bottom line – people, planet, profit and purpose. </w:t>
      </w:r>
      <w:r w:rsidR="007529C0" w:rsidRPr="00FB0C66">
        <w:rPr>
          <w:rFonts w:ascii="Arial" w:hAnsi="Arial" w:cs="Arial"/>
          <w:bCs/>
          <w:sz w:val="20"/>
          <w:szCs w:val="20"/>
        </w:rPr>
        <w:t>This is critical to prevent widening inequality and its flow-on effects.</w:t>
      </w:r>
    </w:p>
    <w:p w14:paraId="30118F51" w14:textId="77777777" w:rsidR="00B61FB1" w:rsidRPr="00B61FB1" w:rsidRDefault="00B61FB1" w:rsidP="00B61FB1">
      <w:pPr>
        <w:pStyle w:val="ListParagraph"/>
        <w:rPr>
          <w:rFonts w:ascii="Arial" w:hAnsi="Arial" w:cs="Arial"/>
          <w:bCs/>
          <w:sz w:val="20"/>
          <w:szCs w:val="20"/>
        </w:rPr>
      </w:pPr>
    </w:p>
    <w:p w14:paraId="32BA4C65" w14:textId="3E80D67F" w:rsidR="00B61FB1" w:rsidRPr="00FB0C66" w:rsidRDefault="00B61FB1" w:rsidP="00561E21">
      <w:pPr>
        <w:pStyle w:val="ListParagraph"/>
        <w:numPr>
          <w:ilvl w:val="0"/>
          <w:numId w:val="11"/>
        </w:numPr>
        <w:tabs>
          <w:tab w:val="left" w:pos="6663"/>
        </w:tabs>
        <w:spacing w:after="0" w:line="240" w:lineRule="auto"/>
        <w:ind w:left="360"/>
        <w:jc w:val="both"/>
        <w:rPr>
          <w:rFonts w:ascii="Arial" w:hAnsi="Arial" w:cs="Arial"/>
          <w:bCs/>
          <w:sz w:val="20"/>
          <w:szCs w:val="20"/>
        </w:rPr>
      </w:pPr>
      <w:r>
        <w:rPr>
          <w:rFonts w:ascii="Arial" w:hAnsi="Arial" w:cs="Arial"/>
          <w:bCs/>
          <w:sz w:val="20"/>
          <w:szCs w:val="20"/>
        </w:rPr>
        <w:t xml:space="preserve">Increase emphasis on large businesses as potential employers.   </w:t>
      </w:r>
    </w:p>
    <w:p w14:paraId="74B8D770" w14:textId="77777777" w:rsidR="00202331" w:rsidRPr="00202331" w:rsidRDefault="00202331" w:rsidP="00561E21">
      <w:pPr>
        <w:pStyle w:val="ListParagraph"/>
        <w:ind w:left="360"/>
        <w:rPr>
          <w:rFonts w:ascii="Arial" w:hAnsi="Arial" w:cs="Arial"/>
          <w:bCs/>
          <w:sz w:val="20"/>
          <w:szCs w:val="20"/>
        </w:rPr>
      </w:pPr>
    </w:p>
    <w:p w14:paraId="27772C47" w14:textId="39D5BE24" w:rsidR="00202331" w:rsidRDefault="00202331" w:rsidP="00561E21">
      <w:pPr>
        <w:pStyle w:val="ListParagraph"/>
        <w:numPr>
          <w:ilvl w:val="0"/>
          <w:numId w:val="11"/>
        </w:numPr>
        <w:spacing w:after="0" w:line="240" w:lineRule="auto"/>
        <w:ind w:left="360"/>
        <w:jc w:val="both"/>
        <w:rPr>
          <w:rFonts w:ascii="Arial" w:hAnsi="Arial" w:cs="Arial"/>
          <w:bCs/>
          <w:sz w:val="20"/>
          <w:szCs w:val="20"/>
        </w:rPr>
      </w:pPr>
      <w:r w:rsidRPr="00202331">
        <w:rPr>
          <w:rFonts w:ascii="Arial" w:hAnsi="Arial" w:cs="Arial"/>
          <w:bCs/>
          <w:sz w:val="20"/>
          <w:szCs w:val="20"/>
        </w:rPr>
        <w:t>Streamline the process of people with disability moving in and out of employment services, and smooth transitions between welfare and work. Current transition arrangements are a (rational) deterrent for jobseekers to trade the security of income support for precarious, transient, low-paid work.</w:t>
      </w:r>
    </w:p>
    <w:p w14:paraId="1BE0B6C8" w14:textId="77777777" w:rsidR="00202331" w:rsidRPr="00202331" w:rsidRDefault="00202331" w:rsidP="00561E21">
      <w:pPr>
        <w:pStyle w:val="ListParagraph"/>
        <w:ind w:left="360"/>
        <w:rPr>
          <w:rFonts w:ascii="Arial" w:hAnsi="Arial" w:cs="Arial"/>
          <w:bCs/>
          <w:sz w:val="20"/>
          <w:szCs w:val="20"/>
        </w:rPr>
      </w:pPr>
    </w:p>
    <w:p w14:paraId="665D6238" w14:textId="0ED6D58B" w:rsidR="00EA11BF" w:rsidRPr="00D855C3" w:rsidRDefault="005366D8" w:rsidP="003A77EC">
      <w:pPr>
        <w:pStyle w:val="ListParagraph"/>
        <w:numPr>
          <w:ilvl w:val="0"/>
          <w:numId w:val="11"/>
        </w:numPr>
        <w:spacing w:after="0" w:line="240" w:lineRule="auto"/>
        <w:ind w:left="360"/>
        <w:jc w:val="both"/>
        <w:rPr>
          <w:rFonts w:ascii="Arial" w:hAnsi="Arial" w:cs="Arial"/>
          <w:bCs/>
          <w:sz w:val="20"/>
          <w:szCs w:val="20"/>
        </w:rPr>
      </w:pPr>
      <w:r w:rsidRPr="00EA11BF">
        <w:rPr>
          <w:rFonts w:ascii="Arial" w:hAnsi="Arial" w:cs="Arial"/>
          <w:bCs/>
          <w:sz w:val="20"/>
          <w:szCs w:val="20"/>
        </w:rPr>
        <w:t xml:space="preserve">Ensure the </w:t>
      </w:r>
      <w:r w:rsidR="00202331" w:rsidRPr="00EA11BF">
        <w:rPr>
          <w:rFonts w:ascii="Arial" w:hAnsi="Arial" w:cs="Arial"/>
          <w:bCs/>
          <w:sz w:val="20"/>
          <w:szCs w:val="20"/>
        </w:rPr>
        <w:t xml:space="preserve">process of assessing jobseekers’ barriers to work </w:t>
      </w:r>
      <w:r w:rsidRPr="00EA11BF">
        <w:rPr>
          <w:rFonts w:ascii="Arial" w:hAnsi="Arial" w:cs="Arial"/>
          <w:bCs/>
          <w:sz w:val="20"/>
          <w:szCs w:val="20"/>
        </w:rPr>
        <w:t xml:space="preserve">is </w:t>
      </w:r>
      <w:r w:rsidR="00202331" w:rsidRPr="00EA11BF">
        <w:rPr>
          <w:rFonts w:ascii="Arial" w:hAnsi="Arial" w:cs="Arial"/>
          <w:bCs/>
          <w:sz w:val="20"/>
          <w:szCs w:val="20"/>
        </w:rPr>
        <w:t>transparent and rigorous.</w:t>
      </w:r>
      <w:r w:rsidR="00FB0C66" w:rsidRPr="00EA11BF">
        <w:rPr>
          <w:rFonts w:ascii="Arial" w:hAnsi="Arial" w:cs="Arial"/>
          <w:bCs/>
          <w:sz w:val="20"/>
          <w:szCs w:val="20"/>
        </w:rPr>
        <w:t xml:space="preserve"> Not all barriers to work can be overcome by </w:t>
      </w:r>
      <w:r w:rsidR="00FB0C66" w:rsidRPr="00EA11BF">
        <w:rPr>
          <w:rFonts w:ascii="Arial" w:hAnsi="Arial" w:cs="Arial"/>
          <w:sz w:val="20"/>
          <w:szCs w:val="20"/>
        </w:rPr>
        <w:t xml:space="preserve">adjusting the skills, attitudes, and behaviour of individual actors. Persistent unemployment </w:t>
      </w:r>
      <w:r w:rsidR="00B9533C" w:rsidRPr="00EA11BF">
        <w:rPr>
          <w:rFonts w:ascii="Arial" w:hAnsi="Arial" w:cs="Arial"/>
          <w:sz w:val="20"/>
          <w:szCs w:val="20"/>
        </w:rPr>
        <w:t xml:space="preserve">of people with disability </w:t>
      </w:r>
      <w:r w:rsidR="00FB0C66" w:rsidRPr="00EA11BF">
        <w:rPr>
          <w:rFonts w:ascii="Arial" w:hAnsi="Arial" w:cs="Arial"/>
          <w:sz w:val="20"/>
          <w:szCs w:val="20"/>
        </w:rPr>
        <w:t xml:space="preserve">is a systemic </w:t>
      </w:r>
      <w:r w:rsidR="00C55FC7" w:rsidRPr="00EA11BF">
        <w:rPr>
          <w:rFonts w:ascii="Arial" w:hAnsi="Arial" w:cs="Arial"/>
          <w:sz w:val="20"/>
          <w:szCs w:val="20"/>
        </w:rPr>
        <w:t>and societal problem.</w:t>
      </w:r>
    </w:p>
    <w:p w14:paraId="4F614DCA" w14:textId="77777777" w:rsidR="00EA11BF" w:rsidRPr="00AD17AA" w:rsidRDefault="00EA11BF" w:rsidP="00AD17AA">
      <w:pPr>
        <w:pStyle w:val="ListParagraph"/>
        <w:rPr>
          <w:rFonts w:ascii="Arial" w:hAnsi="Arial" w:cs="Arial"/>
          <w:bCs/>
          <w:sz w:val="20"/>
          <w:szCs w:val="20"/>
        </w:rPr>
      </w:pPr>
    </w:p>
    <w:p w14:paraId="0E0FC4AF" w14:textId="75C05670" w:rsidR="00E95630" w:rsidRDefault="00A4187C" w:rsidP="00AD17AA">
      <w:pPr>
        <w:pStyle w:val="ListParagraph"/>
        <w:numPr>
          <w:ilvl w:val="0"/>
          <w:numId w:val="11"/>
        </w:numPr>
        <w:spacing w:after="0" w:line="240" w:lineRule="auto"/>
        <w:ind w:left="360"/>
        <w:jc w:val="both"/>
        <w:rPr>
          <w:rFonts w:ascii="Arial" w:hAnsi="Arial" w:cs="Arial"/>
          <w:bCs/>
          <w:sz w:val="20"/>
          <w:szCs w:val="20"/>
        </w:rPr>
      </w:pPr>
      <w:r w:rsidRPr="00AD17AA">
        <w:rPr>
          <w:rFonts w:ascii="Arial" w:hAnsi="Arial" w:cs="Arial"/>
          <w:bCs/>
          <w:sz w:val="20"/>
          <w:szCs w:val="20"/>
        </w:rPr>
        <w:t xml:space="preserve">Foster and promote </w:t>
      </w:r>
      <w:r w:rsidR="000A6072" w:rsidRPr="00AD17AA">
        <w:rPr>
          <w:rFonts w:ascii="Arial" w:hAnsi="Arial" w:cs="Arial"/>
          <w:bCs/>
          <w:sz w:val="20"/>
          <w:szCs w:val="20"/>
        </w:rPr>
        <w:t xml:space="preserve">a holistic </w:t>
      </w:r>
      <w:r w:rsidRPr="00AD17AA">
        <w:rPr>
          <w:rFonts w:ascii="Arial" w:hAnsi="Arial" w:cs="Arial"/>
          <w:bCs/>
          <w:sz w:val="20"/>
          <w:szCs w:val="20"/>
        </w:rPr>
        <w:t>c</w:t>
      </w:r>
      <w:r w:rsidR="000A6072" w:rsidRPr="00AD17AA">
        <w:rPr>
          <w:rFonts w:ascii="Arial" w:hAnsi="Arial" w:cs="Arial"/>
          <w:bCs/>
          <w:sz w:val="20"/>
          <w:szCs w:val="20"/>
        </w:rPr>
        <w:t>apabilities (strength-based) approach in systems and services helping people with disability find and keep employment. T</w:t>
      </w:r>
      <w:r w:rsidR="00A24547" w:rsidRPr="00AD17AA">
        <w:rPr>
          <w:rFonts w:ascii="Arial" w:hAnsi="Arial" w:cs="Arial"/>
          <w:bCs/>
          <w:sz w:val="20"/>
          <w:szCs w:val="20"/>
        </w:rPr>
        <w:t xml:space="preserve">his </w:t>
      </w:r>
      <w:r w:rsidRPr="00AD17AA">
        <w:rPr>
          <w:rFonts w:ascii="Arial" w:hAnsi="Arial" w:cs="Arial"/>
          <w:bCs/>
          <w:sz w:val="20"/>
          <w:szCs w:val="20"/>
        </w:rPr>
        <w:t xml:space="preserve">approach </w:t>
      </w:r>
      <w:r w:rsidR="00A24547" w:rsidRPr="00AD17AA">
        <w:rPr>
          <w:rFonts w:ascii="Arial" w:hAnsi="Arial" w:cs="Arial"/>
          <w:bCs/>
          <w:sz w:val="20"/>
          <w:szCs w:val="20"/>
        </w:rPr>
        <w:t xml:space="preserve">has a successful track record in </w:t>
      </w:r>
      <w:r w:rsidR="000A6072" w:rsidRPr="00AD17AA">
        <w:rPr>
          <w:rFonts w:ascii="Arial" w:hAnsi="Arial" w:cs="Arial"/>
          <w:bCs/>
          <w:sz w:val="20"/>
          <w:szCs w:val="20"/>
        </w:rPr>
        <w:t xml:space="preserve">disability </w:t>
      </w:r>
      <w:r w:rsidR="00A24547" w:rsidRPr="00AD17AA">
        <w:rPr>
          <w:rFonts w:ascii="Arial" w:hAnsi="Arial" w:cs="Arial"/>
          <w:bCs/>
          <w:sz w:val="20"/>
          <w:szCs w:val="20"/>
        </w:rPr>
        <w:t>employment initiatives focused on neurodiversity</w:t>
      </w:r>
      <w:r w:rsidR="000A6072" w:rsidRPr="00AD17AA">
        <w:rPr>
          <w:rFonts w:ascii="Arial" w:hAnsi="Arial" w:cs="Arial"/>
          <w:bCs/>
          <w:sz w:val="20"/>
          <w:szCs w:val="20"/>
        </w:rPr>
        <w:t>, and</w:t>
      </w:r>
      <w:r w:rsidRPr="00AD17AA">
        <w:rPr>
          <w:rFonts w:ascii="Arial" w:hAnsi="Arial" w:cs="Arial"/>
          <w:bCs/>
          <w:sz w:val="20"/>
          <w:szCs w:val="20"/>
        </w:rPr>
        <w:t xml:space="preserve"> with care, </w:t>
      </w:r>
      <w:r w:rsidR="000A6072" w:rsidRPr="00AD17AA">
        <w:rPr>
          <w:rFonts w:ascii="Arial" w:hAnsi="Arial" w:cs="Arial"/>
          <w:bCs/>
          <w:sz w:val="20"/>
          <w:szCs w:val="20"/>
        </w:rPr>
        <w:t xml:space="preserve">could be expanded to encompass jobseekers with other forms of disability. </w:t>
      </w:r>
      <w:r w:rsidR="0056298D" w:rsidRPr="00AD17AA">
        <w:rPr>
          <w:rFonts w:ascii="Arial" w:hAnsi="Arial" w:cs="Arial"/>
          <w:bCs/>
          <w:sz w:val="20"/>
          <w:szCs w:val="20"/>
        </w:rPr>
        <w:t xml:space="preserve">A coordinated approach to working with employers on this front should be trialled in DES and jobactive, with appropriate adjustments to funding and performance mechanisms to support this </w:t>
      </w:r>
      <w:r w:rsidRPr="00AD17AA">
        <w:rPr>
          <w:rFonts w:ascii="Arial" w:hAnsi="Arial" w:cs="Arial"/>
          <w:bCs/>
          <w:sz w:val="20"/>
          <w:szCs w:val="20"/>
        </w:rPr>
        <w:t xml:space="preserve">resource-intensive </w:t>
      </w:r>
      <w:r w:rsidR="0056298D" w:rsidRPr="00AD17AA">
        <w:rPr>
          <w:rFonts w:ascii="Arial" w:hAnsi="Arial" w:cs="Arial"/>
          <w:bCs/>
          <w:sz w:val="20"/>
          <w:szCs w:val="20"/>
        </w:rPr>
        <w:t>work</w:t>
      </w:r>
      <w:r w:rsidRPr="00AD17AA">
        <w:rPr>
          <w:rFonts w:ascii="Arial" w:hAnsi="Arial" w:cs="Arial"/>
          <w:bCs/>
          <w:sz w:val="20"/>
          <w:szCs w:val="20"/>
        </w:rPr>
        <w:t>, and</w:t>
      </w:r>
      <w:r w:rsidR="00AD17AA">
        <w:rPr>
          <w:rFonts w:ascii="Arial" w:hAnsi="Arial" w:cs="Arial"/>
          <w:bCs/>
          <w:sz w:val="20"/>
          <w:szCs w:val="20"/>
        </w:rPr>
        <w:t xml:space="preserve"> </w:t>
      </w:r>
      <w:r w:rsidRPr="00AD17AA">
        <w:rPr>
          <w:rFonts w:ascii="Arial" w:hAnsi="Arial" w:cs="Arial"/>
          <w:bCs/>
          <w:sz w:val="20"/>
          <w:szCs w:val="20"/>
        </w:rPr>
        <w:t>independent evaluation of direct and indirect outcomes built in from the outset.</w:t>
      </w:r>
    </w:p>
    <w:p w14:paraId="1F1581A1" w14:textId="171ACC3E" w:rsidR="00AD17AA" w:rsidRPr="00AD17AA" w:rsidRDefault="00AD17AA" w:rsidP="00AD17AA">
      <w:pPr>
        <w:spacing w:after="0" w:line="240" w:lineRule="auto"/>
        <w:jc w:val="both"/>
        <w:rPr>
          <w:rFonts w:ascii="Arial" w:hAnsi="Arial" w:cs="Arial"/>
          <w:bCs/>
          <w:sz w:val="20"/>
          <w:szCs w:val="20"/>
        </w:rPr>
      </w:pPr>
    </w:p>
    <w:p w14:paraId="7AB72B4B" w14:textId="13BD41B8" w:rsidR="000E17A6" w:rsidRPr="00202331" w:rsidRDefault="00E95630" w:rsidP="00AD17AA">
      <w:pPr>
        <w:pStyle w:val="ListParagraph"/>
        <w:numPr>
          <w:ilvl w:val="0"/>
          <w:numId w:val="11"/>
        </w:numPr>
        <w:spacing w:after="0" w:line="240" w:lineRule="auto"/>
        <w:ind w:left="360"/>
        <w:jc w:val="both"/>
        <w:rPr>
          <w:rFonts w:ascii="Arial" w:hAnsi="Arial" w:cs="Arial"/>
          <w:bCs/>
          <w:sz w:val="20"/>
          <w:szCs w:val="20"/>
        </w:rPr>
      </w:pPr>
      <w:r w:rsidRPr="00EA11BF">
        <w:rPr>
          <w:rFonts w:ascii="Arial" w:hAnsi="Arial" w:cs="Arial"/>
          <w:bCs/>
          <w:sz w:val="20"/>
          <w:szCs w:val="20"/>
        </w:rPr>
        <w:t xml:space="preserve">Build a coherent funding and regulatory regime </w:t>
      </w:r>
      <w:r w:rsidR="009030B4">
        <w:rPr>
          <w:rFonts w:ascii="Arial" w:hAnsi="Arial" w:cs="Arial"/>
          <w:bCs/>
          <w:sz w:val="20"/>
          <w:szCs w:val="20"/>
        </w:rPr>
        <w:t xml:space="preserve">across </w:t>
      </w:r>
      <w:r w:rsidR="003A7065">
        <w:rPr>
          <w:rFonts w:ascii="Arial" w:hAnsi="Arial" w:cs="Arial"/>
          <w:bCs/>
          <w:sz w:val="20"/>
          <w:szCs w:val="20"/>
        </w:rPr>
        <w:t>federal and state governments</w:t>
      </w:r>
      <w:r w:rsidR="009030B4">
        <w:rPr>
          <w:rFonts w:ascii="Arial" w:hAnsi="Arial" w:cs="Arial"/>
          <w:bCs/>
          <w:sz w:val="20"/>
          <w:szCs w:val="20"/>
        </w:rPr>
        <w:t xml:space="preserve"> </w:t>
      </w:r>
      <w:r w:rsidRPr="00EA11BF">
        <w:rPr>
          <w:rFonts w:ascii="Arial" w:hAnsi="Arial" w:cs="Arial"/>
          <w:bCs/>
          <w:sz w:val="20"/>
          <w:szCs w:val="20"/>
        </w:rPr>
        <w:t>that rewards collective-action solutions and partnerships between people with disability, their families and care</w:t>
      </w:r>
      <w:r w:rsidR="0077762E">
        <w:rPr>
          <w:rFonts w:ascii="Arial" w:hAnsi="Arial" w:cs="Arial"/>
          <w:bCs/>
          <w:sz w:val="20"/>
          <w:szCs w:val="20"/>
        </w:rPr>
        <w:t>r</w:t>
      </w:r>
      <w:r w:rsidRPr="00EA11BF">
        <w:rPr>
          <w:rFonts w:ascii="Arial" w:hAnsi="Arial" w:cs="Arial"/>
          <w:bCs/>
          <w:sz w:val="20"/>
          <w:szCs w:val="20"/>
        </w:rPr>
        <w:t>s, education providers, services, and employers focused on identifying and creating sustainable employment opportunities.</w:t>
      </w:r>
    </w:p>
    <w:sectPr w:rsidR="000E17A6" w:rsidRPr="002023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29CF" w14:textId="77777777" w:rsidR="00ED4130" w:rsidRDefault="00ED4130" w:rsidP="00232299">
      <w:pPr>
        <w:spacing w:after="0" w:line="240" w:lineRule="auto"/>
      </w:pPr>
      <w:r>
        <w:separator/>
      </w:r>
    </w:p>
  </w:endnote>
  <w:endnote w:type="continuationSeparator" w:id="0">
    <w:p w14:paraId="6A328B83" w14:textId="77777777" w:rsidR="00ED4130" w:rsidRDefault="00ED4130" w:rsidP="0023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03114"/>
      <w:docPartObj>
        <w:docPartGallery w:val="Page Numbers (Bottom of Page)"/>
        <w:docPartUnique/>
      </w:docPartObj>
    </w:sdtPr>
    <w:sdtEndPr>
      <w:rPr>
        <w:noProof/>
      </w:rPr>
    </w:sdtEndPr>
    <w:sdtContent>
      <w:p w14:paraId="5685EF60" w14:textId="2142E923" w:rsidR="000B649F" w:rsidRDefault="000B64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2A6EC" w14:textId="77777777" w:rsidR="000B649F" w:rsidRDefault="000B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D088" w14:textId="77777777" w:rsidR="00ED4130" w:rsidRDefault="00ED4130" w:rsidP="00232299">
      <w:pPr>
        <w:spacing w:after="0" w:line="240" w:lineRule="auto"/>
      </w:pPr>
      <w:r>
        <w:separator/>
      </w:r>
    </w:p>
  </w:footnote>
  <w:footnote w:type="continuationSeparator" w:id="0">
    <w:p w14:paraId="01D7FC99" w14:textId="77777777" w:rsidR="00ED4130" w:rsidRDefault="00ED4130" w:rsidP="00232299">
      <w:pPr>
        <w:spacing w:after="0" w:line="240" w:lineRule="auto"/>
      </w:pPr>
      <w:r>
        <w:continuationSeparator/>
      </w:r>
    </w:p>
  </w:footnote>
  <w:footnote w:id="1">
    <w:p w14:paraId="256BDD85" w14:textId="77777777" w:rsidR="00F16020" w:rsidRDefault="00F16020" w:rsidP="00F16020">
      <w:pPr>
        <w:pStyle w:val="Heading5"/>
        <w:shd w:val="clear" w:color="auto" w:fill="FFFFFF"/>
        <w:spacing w:before="0" w:beforeAutospacing="0" w:after="0" w:afterAutospacing="0"/>
        <w:rPr>
          <w:lang w:val="en-US"/>
        </w:rPr>
      </w:pPr>
      <w:r>
        <w:rPr>
          <w:rStyle w:val="FootnoteReference"/>
          <w:b w:val="0"/>
          <w:bCs w:val="0"/>
        </w:rPr>
        <w:footnoteRef/>
      </w:r>
      <w:r>
        <w:t xml:space="preserve"> </w:t>
      </w:r>
      <w:r>
        <w:rPr>
          <w:rFonts w:ascii="Arial" w:hAnsi="Arial" w:cs="Arial"/>
          <w:b w:val="0"/>
          <w:bCs w:val="0"/>
          <w:i/>
          <w:iCs/>
          <w:color w:val="444444"/>
          <w:sz w:val="18"/>
          <w:szCs w:val="18"/>
        </w:rPr>
        <w:t>Shut out: the experience of people with disabilities and their families in Australia: National Disability Strategy consultation report</w:t>
      </w:r>
      <w:r>
        <w:rPr>
          <w:rFonts w:ascii="Arial" w:hAnsi="Arial" w:cs="Arial"/>
          <w:b w:val="0"/>
          <w:bCs w:val="0"/>
          <w:color w:val="444444"/>
          <w:sz w:val="18"/>
          <w:szCs w:val="18"/>
        </w:rPr>
        <w:t xml:space="preserve"> prepared by the National People with Disabilities and Carers Council (2012) </w:t>
      </w:r>
      <w:hyperlink r:id="rId1" w:history="1">
        <w:r>
          <w:rPr>
            <w:rStyle w:val="Hyperlink"/>
            <w:rFonts w:ascii="Arial" w:hAnsi="Arial" w:cs="Arial"/>
            <w:b w:val="0"/>
            <w:bCs w:val="0"/>
            <w:sz w:val="18"/>
            <w:szCs w:val="18"/>
          </w:rPr>
          <w:t>https://www.dss.gov.au/sites/default/files/documents/05_2012/nds_report.pdf</w:t>
        </w:r>
      </w:hyperlink>
      <w:r>
        <w:rPr>
          <w:rFonts w:ascii="Arial" w:hAnsi="Arial" w:cs="Arial"/>
          <w:b w:val="0"/>
          <w:bCs w:val="0"/>
          <w:color w:val="444444"/>
          <w:sz w:val="18"/>
          <w:szCs w:val="18"/>
        </w:rPr>
        <w:t xml:space="preserve"> </w:t>
      </w:r>
    </w:p>
  </w:footnote>
  <w:footnote w:id="2">
    <w:p w14:paraId="361DF44F" w14:textId="77777777" w:rsidR="00F16020" w:rsidRDefault="00F16020" w:rsidP="00F16020">
      <w:pPr>
        <w:pStyle w:val="FootnoteText"/>
        <w:rPr>
          <w:lang w:val="en-US"/>
        </w:rPr>
      </w:pPr>
      <w:r>
        <w:rPr>
          <w:rStyle w:val="FootnoteReference"/>
        </w:rPr>
        <w:footnoteRef/>
      </w:r>
      <w:r>
        <w:t xml:space="preserve"> </w:t>
      </w:r>
      <w:r>
        <w:rPr>
          <w:rFonts w:ascii="Arial" w:hAnsi="Arial" w:cs="Arial"/>
          <w:sz w:val="18"/>
          <w:szCs w:val="18"/>
        </w:rPr>
        <w:t xml:space="preserve">Every Australian Counts </w:t>
      </w:r>
      <w:hyperlink r:id="rId2" w:history="1">
        <w:r>
          <w:rPr>
            <w:rStyle w:val="Hyperlink"/>
            <w:rFonts w:ascii="Arial" w:hAnsi="Arial" w:cs="Arial"/>
            <w:sz w:val="18"/>
            <w:szCs w:val="18"/>
          </w:rPr>
          <w:t>https://everyaustraliancounts.com.au/</w:t>
        </w:r>
      </w:hyperlink>
      <w:r>
        <w:t xml:space="preserve"> </w:t>
      </w:r>
    </w:p>
  </w:footnote>
  <w:footnote w:id="3">
    <w:p w14:paraId="4355455D" w14:textId="5A2CFC7A" w:rsidR="005E4956" w:rsidRPr="005E4956" w:rsidRDefault="005E4956">
      <w:pPr>
        <w:pStyle w:val="FootnoteText"/>
        <w:rPr>
          <w:lang w:val="en-US"/>
        </w:rPr>
      </w:pPr>
      <w:r>
        <w:rPr>
          <w:rStyle w:val="FootnoteReference"/>
        </w:rPr>
        <w:footnoteRef/>
      </w:r>
      <w:r>
        <w:t xml:space="preserve"> </w:t>
      </w:r>
      <w:r w:rsidRPr="005E4956">
        <w:rPr>
          <w:rFonts w:ascii="Arial" w:hAnsi="Arial" w:cs="Arial"/>
          <w:sz w:val="18"/>
          <w:szCs w:val="18"/>
        </w:rPr>
        <w:t xml:space="preserve">AHRC (2016) </w:t>
      </w:r>
      <w:r w:rsidRPr="005E4956">
        <w:rPr>
          <w:rFonts w:ascii="Arial" w:hAnsi="Arial" w:cs="Arial"/>
          <w:i/>
          <w:iCs/>
          <w:sz w:val="18"/>
          <w:szCs w:val="18"/>
        </w:rPr>
        <w:t>Willing to Work: National Inquiry into Employment Discrimination Against Older Australians and Australians with Disability</w:t>
      </w:r>
      <w:r w:rsidRPr="005E4956">
        <w:rPr>
          <w:rFonts w:ascii="Arial" w:hAnsi="Arial" w:cs="Arial"/>
          <w:sz w:val="18"/>
          <w:szCs w:val="18"/>
        </w:rPr>
        <w:t>, Australian Human Rights Commission, Sydney</w:t>
      </w:r>
      <w:r>
        <w:rPr>
          <w:rFonts w:ascii="Arial" w:hAnsi="Arial" w:cs="Arial"/>
          <w:sz w:val="18"/>
          <w:szCs w:val="18"/>
        </w:rPr>
        <w:t xml:space="preserve">; </w:t>
      </w:r>
      <w:r w:rsidR="00866041" w:rsidRPr="00866041">
        <w:rPr>
          <w:rFonts w:ascii="Arial" w:hAnsi="Arial" w:cs="Arial"/>
          <w:sz w:val="18"/>
          <w:szCs w:val="18"/>
        </w:rPr>
        <w:t xml:space="preserve">Productivity Commission (2011) </w:t>
      </w:r>
      <w:r w:rsidR="00866041" w:rsidRPr="00866041">
        <w:rPr>
          <w:rFonts w:ascii="Arial" w:hAnsi="Arial" w:cs="Arial"/>
          <w:i/>
          <w:iCs/>
          <w:sz w:val="18"/>
          <w:szCs w:val="18"/>
        </w:rPr>
        <w:t>Disability Care and Support Inquiry, Report no. 54</w:t>
      </w:r>
      <w:r w:rsidR="00866041" w:rsidRPr="00866041">
        <w:rPr>
          <w:rFonts w:ascii="Arial" w:hAnsi="Arial" w:cs="Arial"/>
          <w:sz w:val="18"/>
          <w:szCs w:val="18"/>
        </w:rPr>
        <w:t xml:space="preserve"> Australian Government: Canberra</w:t>
      </w:r>
    </w:p>
  </w:footnote>
  <w:footnote w:id="4">
    <w:p w14:paraId="5E6FEB3D" w14:textId="4CAB0B60" w:rsidR="00FC04D0" w:rsidRPr="00FC04D0" w:rsidRDefault="00FC04D0" w:rsidP="00FC04D0">
      <w:pPr>
        <w:pStyle w:val="FootnoteText"/>
        <w:rPr>
          <w:rFonts w:ascii="Arial" w:hAnsi="Arial" w:cs="Arial"/>
          <w:sz w:val="18"/>
          <w:szCs w:val="18"/>
          <w:lang w:val="en-US"/>
        </w:rPr>
      </w:pPr>
      <w:r>
        <w:rPr>
          <w:rStyle w:val="FootnoteReference"/>
        </w:rPr>
        <w:footnoteRef/>
      </w:r>
      <w:r>
        <w:t xml:space="preserve"> </w:t>
      </w:r>
      <w:r w:rsidRPr="00FC04D0">
        <w:rPr>
          <w:rFonts w:ascii="Arial" w:hAnsi="Arial" w:cs="Arial"/>
          <w:sz w:val="18"/>
          <w:szCs w:val="18"/>
        </w:rPr>
        <w:t>ABS (2003) 4430.0 - Disability, Ageing and Carers, Australia: Summary of Findings 2003</w:t>
      </w:r>
      <w:r w:rsidR="008B0EE4">
        <w:rPr>
          <w:rFonts w:ascii="Arial" w:hAnsi="Arial" w:cs="Arial"/>
          <w:sz w:val="18"/>
          <w:szCs w:val="18"/>
        </w:rPr>
        <w:t xml:space="preserve">; </w:t>
      </w:r>
      <w:r w:rsidRPr="00FC04D0">
        <w:rPr>
          <w:rFonts w:ascii="Arial" w:hAnsi="Arial" w:cs="Arial"/>
          <w:sz w:val="18"/>
          <w:szCs w:val="18"/>
        </w:rPr>
        <w:t>ABS (2012) 4430.0 - Disability, Ageing and Carers, Australia: Summary of Findings 2012</w:t>
      </w:r>
      <w:r w:rsidR="008B0EE4">
        <w:rPr>
          <w:rFonts w:ascii="Arial" w:hAnsi="Arial" w:cs="Arial"/>
          <w:sz w:val="18"/>
          <w:szCs w:val="18"/>
        </w:rPr>
        <w:t xml:space="preserve">; </w:t>
      </w:r>
      <w:r w:rsidRPr="00FC04D0">
        <w:rPr>
          <w:rFonts w:ascii="Arial" w:hAnsi="Arial" w:cs="Arial"/>
          <w:sz w:val="18"/>
          <w:szCs w:val="18"/>
        </w:rPr>
        <w:t>ABS (2015) 4430.0 - Disability, Ageing and Carers, Australia: Summary of Findings 2015</w:t>
      </w:r>
      <w:r w:rsidR="008B0EE4">
        <w:rPr>
          <w:rFonts w:ascii="Arial" w:hAnsi="Arial" w:cs="Arial"/>
          <w:sz w:val="18"/>
          <w:szCs w:val="18"/>
        </w:rPr>
        <w:t xml:space="preserve">; </w:t>
      </w:r>
      <w:r w:rsidRPr="00FC04D0">
        <w:rPr>
          <w:rFonts w:ascii="Arial" w:hAnsi="Arial" w:cs="Arial"/>
          <w:sz w:val="18"/>
          <w:szCs w:val="18"/>
        </w:rPr>
        <w:t>ABS (2018) 4430.0 - Disability, Ageing and Carers, Australia: Summary of Findings 2018, Australian Bureau of Statistics Canberra</w:t>
      </w:r>
    </w:p>
  </w:footnote>
  <w:footnote w:id="5">
    <w:p w14:paraId="1E8103F9" w14:textId="4ECEEEF7" w:rsidR="00CE5E14" w:rsidRPr="00CE5E14" w:rsidRDefault="00CE5E14" w:rsidP="00CE5E14">
      <w:pPr>
        <w:spacing w:after="0" w:line="240" w:lineRule="auto"/>
        <w:rPr>
          <w:lang w:val="en-US"/>
        </w:rPr>
      </w:pPr>
      <w:r>
        <w:rPr>
          <w:rStyle w:val="FootnoteReference"/>
        </w:rPr>
        <w:footnoteRef/>
      </w:r>
      <w:r>
        <w:t xml:space="preserve"> </w:t>
      </w:r>
      <w:r w:rsidRPr="00CE5E14">
        <w:rPr>
          <w:rFonts w:ascii="Arial" w:eastAsia="Times New Roman" w:hAnsi="Arial" w:cs="Arial"/>
          <w:iCs/>
          <w:sz w:val="18"/>
          <w:szCs w:val="18"/>
          <w:lang w:eastAsia="en-AU"/>
        </w:rPr>
        <w:t xml:space="preserve">ABS (2018) </w:t>
      </w:r>
      <w:r w:rsidRPr="00CE5E14">
        <w:rPr>
          <w:rFonts w:ascii="Arial" w:eastAsia="Times New Roman" w:hAnsi="Arial" w:cs="Arial"/>
          <w:i/>
          <w:sz w:val="18"/>
          <w:szCs w:val="18"/>
          <w:lang w:eastAsia="en-AU"/>
        </w:rPr>
        <w:t>4430.0 - Disability, Ageing and Carers, Australia: Summary of Findings 2018</w:t>
      </w:r>
      <w:r w:rsidRPr="00CE5E14">
        <w:rPr>
          <w:rFonts w:ascii="Arial" w:eastAsia="Times New Roman" w:hAnsi="Arial" w:cs="Arial"/>
          <w:iCs/>
          <w:sz w:val="18"/>
          <w:szCs w:val="18"/>
          <w:lang w:eastAsia="en-AU"/>
        </w:rPr>
        <w:t xml:space="preserve">, Australian Bureau of Statistics Canberra </w:t>
      </w:r>
    </w:p>
  </w:footnote>
  <w:footnote w:id="6">
    <w:p w14:paraId="532D3410" w14:textId="6A08D18A" w:rsidR="00A3559D" w:rsidRPr="00A3559D" w:rsidRDefault="00A3559D" w:rsidP="009F0AE3">
      <w:pPr>
        <w:pStyle w:val="FootnoteText"/>
        <w:rPr>
          <w:lang w:val="en-US"/>
        </w:rPr>
      </w:pPr>
      <w:r>
        <w:rPr>
          <w:rStyle w:val="FootnoteReference"/>
        </w:rPr>
        <w:footnoteRef/>
      </w:r>
      <w:r>
        <w:t xml:space="preserve"> </w:t>
      </w:r>
      <w:r w:rsidRPr="00A3559D">
        <w:rPr>
          <w:rFonts w:ascii="Arial" w:hAnsi="Arial" w:cs="Arial"/>
          <w:sz w:val="18"/>
          <w:szCs w:val="18"/>
        </w:rPr>
        <w:t xml:space="preserve">Parliament of Australia (2019) </w:t>
      </w:r>
      <w:r w:rsidRPr="009F0AE3">
        <w:rPr>
          <w:rFonts w:ascii="Arial" w:hAnsi="Arial" w:cs="Arial"/>
          <w:i/>
          <w:iCs/>
          <w:sz w:val="18"/>
          <w:szCs w:val="18"/>
        </w:rPr>
        <w:t>Jobactive: failing those it is intended to serve</w:t>
      </w:r>
      <w:r w:rsidR="009F0AE3">
        <w:rPr>
          <w:rFonts w:ascii="Arial" w:hAnsi="Arial" w:cs="Arial"/>
          <w:i/>
          <w:iCs/>
          <w:sz w:val="18"/>
          <w:szCs w:val="18"/>
        </w:rPr>
        <w:t xml:space="preserve">; </w:t>
      </w:r>
      <w:r w:rsidR="009F0AE3" w:rsidRPr="009F0AE3">
        <w:rPr>
          <w:rFonts w:ascii="Arial" w:hAnsi="Arial" w:cs="Arial"/>
          <w:sz w:val="18"/>
          <w:szCs w:val="18"/>
        </w:rPr>
        <w:t>Royal Commi</w:t>
      </w:r>
      <w:r w:rsidR="009F0AE3">
        <w:rPr>
          <w:rFonts w:ascii="Arial" w:hAnsi="Arial" w:cs="Arial"/>
          <w:sz w:val="18"/>
          <w:szCs w:val="18"/>
        </w:rPr>
        <w:t>s</w:t>
      </w:r>
      <w:r w:rsidR="009F0AE3" w:rsidRPr="009F0AE3">
        <w:rPr>
          <w:rFonts w:ascii="Arial" w:hAnsi="Arial" w:cs="Arial"/>
          <w:sz w:val="18"/>
          <w:szCs w:val="18"/>
        </w:rPr>
        <w:t xml:space="preserve">sion into Violence, Abuse, Neglect and Exploitation of People with Disability (2020), </w:t>
      </w:r>
      <w:r w:rsidR="009F0AE3" w:rsidRPr="009F0AE3">
        <w:rPr>
          <w:rFonts w:ascii="Arial" w:hAnsi="Arial" w:cs="Arial"/>
          <w:i/>
          <w:iCs/>
          <w:sz w:val="18"/>
          <w:szCs w:val="18"/>
        </w:rPr>
        <w:t>Issues Paper: Employment</w:t>
      </w:r>
      <w:r w:rsidR="009F0AE3">
        <w:rPr>
          <w:rFonts w:ascii="Arial" w:hAnsi="Arial" w:cs="Arial"/>
          <w:i/>
          <w:iCs/>
          <w:sz w:val="18"/>
          <w:szCs w:val="18"/>
        </w:rPr>
        <w:t xml:space="preserve">; </w:t>
      </w:r>
      <w:r w:rsidR="009F0AE3" w:rsidRPr="006F1BB0">
        <w:rPr>
          <w:rFonts w:ascii="Arial" w:hAnsi="Arial" w:cs="Arial"/>
          <w:sz w:val="18"/>
          <w:szCs w:val="18"/>
        </w:rPr>
        <w:t>Centre of</w:t>
      </w:r>
      <w:r w:rsidR="006F1BB0" w:rsidRPr="006F1BB0">
        <w:rPr>
          <w:rFonts w:ascii="Arial" w:hAnsi="Arial" w:cs="Arial"/>
          <w:sz w:val="18"/>
          <w:szCs w:val="18"/>
        </w:rPr>
        <w:t xml:space="preserve"> </w:t>
      </w:r>
      <w:r w:rsidR="009F0AE3" w:rsidRPr="006F1BB0">
        <w:rPr>
          <w:rFonts w:ascii="Arial" w:hAnsi="Arial" w:cs="Arial"/>
          <w:sz w:val="18"/>
          <w:szCs w:val="18"/>
        </w:rPr>
        <w:t>Research Excellence in</w:t>
      </w:r>
      <w:r w:rsidR="006F1BB0" w:rsidRPr="006F1BB0">
        <w:rPr>
          <w:rFonts w:ascii="Arial" w:hAnsi="Arial" w:cs="Arial"/>
          <w:sz w:val="18"/>
          <w:szCs w:val="18"/>
        </w:rPr>
        <w:t xml:space="preserve"> </w:t>
      </w:r>
      <w:r w:rsidR="009F0AE3" w:rsidRPr="006F1BB0">
        <w:rPr>
          <w:rFonts w:ascii="Arial" w:hAnsi="Arial" w:cs="Arial"/>
          <w:sz w:val="18"/>
          <w:szCs w:val="18"/>
        </w:rPr>
        <w:t>Disability and Health</w:t>
      </w:r>
      <w:r w:rsidR="009F0AE3" w:rsidRPr="009F0AE3">
        <w:rPr>
          <w:rFonts w:ascii="Arial" w:hAnsi="Arial" w:cs="Arial"/>
          <w:i/>
          <w:iCs/>
          <w:sz w:val="18"/>
          <w:szCs w:val="18"/>
        </w:rPr>
        <w:t xml:space="preserve"> </w:t>
      </w:r>
      <w:r w:rsidR="009F0AE3" w:rsidRPr="009F0AE3">
        <w:rPr>
          <w:rFonts w:ascii="Arial" w:hAnsi="Arial" w:cs="Arial"/>
          <w:sz w:val="18"/>
          <w:szCs w:val="18"/>
        </w:rPr>
        <w:t>Improving Disability Employment Study</w:t>
      </w:r>
      <w:r w:rsidR="006F1BB0">
        <w:rPr>
          <w:rFonts w:ascii="Arial" w:hAnsi="Arial" w:cs="Arial"/>
          <w:sz w:val="18"/>
          <w:szCs w:val="18"/>
        </w:rPr>
        <w:t xml:space="preserve"> </w:t>
      </w:r>
      <w:hyperlink r:id="rId3" w:history="1">
        <w:r w:rsidR="006F1BB0" w:rsidRPr="00FA426A">
          <w:rPr>
            <w:rStyle w:val="Hyperlink"/>
            <w:rFonts w:ascii="Arial" w:hAnsi="Arial" w:cs="Arial"/>
            <w:sz w:val="18"/>
            <w:szCs w:val="18"/>
          </w:rPr>
          <w:t>https://credh.org.au/projects/improving-disability-employment-services/</w:t>
        </w:r>
      </w:hyperlink>
      <w:r w:rsidR="006F1BB0">
        <w:rPr>
          <w:rFonts w:ascii="Arial" w:hAnsi="Arial" w:cs="Arial"/>
          <w:sz w:val="18"/>
          <w:szCs w:val="18"/>
        </w:rPr>
        <w:t xml:space="preserve"> </w:t>
      </w:r>
      <w:r w:rsidR="009F0AE3">
        <w:rPr>
          <w:rFonts w:ascii="Arial" w:hAnsi="Arial" w:cs="Arial"/>
          <w:sz w:val="18"/>
          <w:szCs w:val="18"/>
        </w:rPr>
        <w:t xml:space="preserve"> </w:t>
      </w:r>
    </w:p>
  </w:footnote>
  <w:footnote w:id="7">
    <w:p w14:paraId="4B8DB7DF" w14:textId="0FE9B99E" w:rsidR="00CE5E14" w:rsidRPr="00CE5E14" w:rsidRDefault="00CE5E14">
      <w:pPr>
        <w:pStyle w:val="FootnoteText"/>
        <w:rPr>
          <w:lang w:val="en-US"/>
        </w:rPr>
      </w:pPr>
      <w:r>
        <w:rPr>
          <w:rStyle w:val="FootnoteReference"/>
        </w:rPr>
        <w:footnoteRef/>
      </w:r>
      <w:r>
        <w:t xml:space="preserve"> </w:t>
      </w:r>
      <w:r w:rsidRPr="00CE5E14">
        <w:rPr>
          <w:rFonts w:ascii="Arial" w:hAnsi="Arial" w:cs="Arial"/>
          <w:sz w:val="18"/>
          <w:szCs w:val="18"/>
        </w:rPr>
        <w:t xml:space="preserve">Australian Government Labour Market </w:t>
      </w:r>
      <w:r w:rsidR="00952C6E">
        <w:rPr>
          <w:rFonts w:ascii="Arial" w:hAnsi="Arial" w:cs="Arial"/>
          <w:sz w:val="18"/>
          <w:szCs w:val="18"/>
        </w:rPr>
        <w:t>I</w:t>
      </w:r>
      <w:r w:rsidRPr="00CE5E14">
        <w:rPr>
          <w:rFonts w:ascii="Arial" w:hAnsi="Arial" w:cs="Arial"/>
          <w:sz w:val="18"/>
          <w:szCs w:val="18"/>
        </w:rPr>
        <w:t>nformation Portal</w:t>
      </w:r>
      <w:r w:rsidR="00952C6E">
        <w:rPr>
          <w:rFonts w:ascii="Arial" w:hAnsi="Arial" w:cs="Arial"/>
          <w:sz w:val="18"/>
          <w:szCs w:val="18"/>
        </w:rPr>
        <w:t>:</w:t>
      </w:r>
      <w:r w:rsidRPr="00CE5E14">
        <w:rPr>
          <w:rFonts w:ascii="Arial" w:hAnsi="Arial" w:cs="Arial"/>
          <w:sz w:val="18"/>
          <w:szCs w:val="18"/>
        </w:rPr>
        <w:t xml:space="preserve"> Disability Employment Services (DES) Data</w:t>
      </w:r>
      <w:r w:rsidR="00762D45">
        <w:rPr>
          <w:rFonts w:ascii="Arial" w:hAnsi="Arial" w:cs="Arial"/>
          <w:sz w:val="18"/>
          <w:szCs w:val="18"/>
        </w:rPr>
        <w:t>, DES Monthly Data 31</w:t>
      </w:r>
      <w:r>
        <w:rPr>
          <w:rFonts w:ascii="Arial" w:hAnsi="Arial" w:cs="Arial"/>
          <w:sz w:val="18"/>
          <w:szCs w:val="18"/>
        </w:rPr>
        <w:t xml:space="preserve"> March 2021 </w:t>
      </w:r>
    </w:p>
  </w:footnote>
  <w:footnote w:id="8">
    <w:p w14:paraId="7646A219" w14:textId="7029EAA4" w:rsidR="00952C6E" w:rsidRPr="00952C6E" w:rsidRDefault="00952C6E">
      <w:pPr>
        <w:pStyle w:val="FootnoteText"/>
        <w:rPr>
          <w:lang w:val="en-US"/>
        </w:rPr>
      </w:pPr>
      <w:r>
        <w:rPr>
          <w:rStyle w:val="FootnoteReference"/>
        </w:rPr>
        <w:footnoteRef/>
      </w:r>
      <w:r>
        <w:t xml:space="preserve"> </w:t>
      </w:r>
      <w:r w:rsidRPr="00952C6E">
        <w:rPr>
          <w:rFonts w:ascii="Arial" w:hAnsi="Arial" w:cs="Arial"/>
          <w:sz w:val="18"/>
          <w:szCs w:val="18"/>
        </w:rPr>
        <w:t xml:space="preserve">Australian Government Labour Market </w:t>
      </w:r>
      <w:r>
        <w:rPr>
          <w:rFonts w:ascii="Arial" w:hAnsi="Arial" w:cs="Arial"/>
          <w:sz w:val="18"/>
          <w:szCs w:val="18"/>
        </w:rPr>
        <w:t>I</w:t>
      </w:r>
      <w:r w:rsidRPr="00952C6E">
        <w:rPr>
          <w:rFonts w:ascii="Arial" w:hAnsi="Arial" w:cs="Arial"/>
          <w:sz w:val="18"/>
          <w:szCs w:val="18"/>
        </w:rPr>
        <w:t>nformation Portal</w:t>
      </w:r>
      <w:r>
        <w:rPr>
          <w:rFonts w:ascii="Arial" w:hAnsi="Arial" w:cs="Arial"/>
          <w:sz w:val="18"/>
          <w:szCs w:val="18"/>
        </w:rPr>
        <w:t>:</w:t>
      </w:r>
      <w:r w:rsidRPr="00952C6E">
        <w:rPr>
          <w:rFonts w:ascii="Arial" w:hAnsi="Arial" w:cs="Arial"/>
          <w:sz w:val="18"/>
          <w:szCs w:val="18"/>
        </w:rPr>
        <w:t xml:space="preserve"> jobactive Caseload Data - September 2015 to March 2021</w:t>
      </w:r>
      <w:r>
        <w:rPr>
          <w:rFonts w:ascii="Arial" w:hAnsi="Arial" w:cs="Arial"/>
          <w:sz w:val="18"/>
          <w:szCs w:val="18"/>
        </w:rPr>
        <w:t xml:space="preserve"> 31 March 2021 </w:t>
      </w:r>
    </w:p>
  </w:footnote>
  <w:footnote w:id="9">
    <w:p w14:paraId="4338A27F" w14:textId="0989BF37" w:rsidR="00952C6E" w:rsidRPr="00952C6E" w:rsidRDefault="00952C6E">
      <w:pPr>
        <w:pStyle w:val="FootnoteText"/>
        <w:rPr>
          <w:rFonts w:ascii="Arial" w:hAnsi="Arial" w:cs="Arial"/>
          <w:sz w:val="18"/>
          <w:szCs w:val="18"/>
          <w:lang w:val="en-US"/>
        </w:rPr>
      </w:pPr>
      <w:r>
        <w:rPr>
          <w:rStyle w:val="FootnoteReference"/>
        </w:rPr>
        <w:footnoteRef/>
      </w:r>
      <w:r>
        <w:t xml:space="preserve"> </w:t>
      </w:r>
      <w:r w:rsidRPr="00952C6E">
        <w:rPr>
          <w:rFonts w:ascii="Arial" w:hAnsi="Arial" w:cs="Arial"/>
          <w:sz w:val="18"/>
          <w:szCs w:val="18"/>
          <w:lang w:val="en-US"/>
        </w:rPr>
        <w:t>ABS (2021) Job Vacancies, Australia</w:t>
      </w:r>
      <w:r w:rsidR="005E07F9">
        <w:rPr>
          <w:rFonts w:ascii="Arial" w:hAnsi="Arial" w:cs="Arial"/>
          <w:sz w:val="18"/>
          <w:szCs w:val="18"/>
          <w:lang w:val="en-US"/>
        </w:rPr>
        <w:t>,</w:t>
      </w:r>
      <w:r>
        <w:rPr>
          <w:rFonts w:ascii="Arial" w:hAnsi="Arial" w:cs="Arial"/>
          <w:sz w:val="18"/>
          <w:szCs w:val="18"/>
          <w:lang w:val="en-US"/>
        </w:rPr>
        <w:t xml:space="preserve"> February 2021</w:t>
      </w:r>
      <w:r w:rsidR="005E07F9">
        <w:rPr>
          <w:rFonts w:ascii="Arial" w:hAnsi="Arial" w:cs="Arial"/>
          <w:sz w:val="18"/>
          <w:szCs w:val="18"/>
          <w:lang w:val="en-US"/>
        </w:rPr>
        <w:t xml:space="preserve">, </w:t>
      </w:r>
      <w:r w:rsidR="005E07F9" w:rsidRPr="00FC04D0">
        <w:rPr>
          <w:rFonts w:ascii="Arial" w:hAnsi="Arial" w:cs="Arial"/>
          <w:sz w:val="18"/>
          <w:szCs w:val="18"/>
        </w:rPr>
        <w:t>Australian Bureau of Statistics Canberra</w:t>
      </w:r>
    </w:p>
  </w:footnote>
  <w:footnote w:id="10">
    <w:p w14:paraId="04C3DABB" w14:textId="46E8DBB7" w:rsidR="00CD6D66" w:rsidRPr="00CD6D66" w:rsidRDefault="00CD6D66">
      <w:pPr>
        <w:pStyle w:val="FootnoteText"/>
        <w:rPr>
          <w:lang w:val="en-US"/>
        </w:rPr>
      </w:pPr>
      <w:r>
        <w:rPr>
          <w:rStyle w:val="FootnoteReference"/>
        </w:rPr>
        <w:footnoteRef/>
      </w:r>
      <w:r>
        <w:t xml:space="preserve"> </w:t>
      </w:r>
      <w:r w:rsidRPr="00952C6E">
        <w:rPr>
          <w:rFonts w:ascii="Arial" w:hAnsi="Arial" w:cs="Arial"/>
          <w:sz w:val="18"/>
          <w:szCs w:val="18"/>
        </w:rPr>
        <w:t xml:space="preserve">Australian Government Labour Market </w:t>
      </w:r>
      <w:r>
        <w:rPr>
          <w:rFonts w:ascii="Arial" w:hAnsi="Arial" w:cs="Arial"/>
          <w:sz w:val="18"/>
          <w:szCs w:val="18"/>
        </w:rPr>
        <w:t>I</w:t>
      </w:r>
      <w:r w:rsidRPr="00952C6E">
        <w:rPr>
          <w:rFonts w:ascii="Arial" w:hAnsi="Arial" w:cs="Arial"/>
          <w:sz w:val="18"/>
          <w:szCs w:val="18"/>
        </w:rPr>
        <w:t>nformation Portal</w:t>
      </w:r>
      <w:r>
        <w:rPr>
          <w:rFonts w:ascii="Arial" w:hAnsi="Arial" w:cs="Arial"/>
          <w:sz w:val="18"/>
          <w:szCs w:val="18"/>
        </w:rPr>
        <w:t>:</w:t>
      </w:r>
      <w:r w:rsidRPr="00952C6E">
        <w:rPr>
          <w:rFonts w:ascii="Arial" w:hAnsi="Arial" w:cs="Arial"/>
          <w:sz w:val="18"/>
          <w:szCs w:val="18"/>
        </w:rPr>
        <w:t xml:space="preserve"> jobactive Caseload Data - September 2015 to March 2021</w:t>
      </w:r>
      <w:r>
        <w:rPr>
          <w:rFonts w:ascii="Arial" w:hAnsi="Arial" w:cs="Arial"/>
          <w:sz w:val="18"/>
          <w:szCs w:val="18"/>
        </w:rPr>
        <w:t xml:space="preserve"> 31 March 2021</w:t>
      </w:r>
    </w:p>
  </w:footnote>
  <w:footnote w:id="11">
    <w:p w14:paraId="4B3DB75D" w14:textId="340CE115" w:rsidR="00CD6D66" w:rsidRPr="00CD6D66" w:rsidRDefault="00CD6D66">
      <w:pPr>
        <w:pStyle w:val="FootnoteText"/>
        <w:rPr>
          <w:lang w:val="en-US"/>
        </w:rPr>
      </w:pPr>
      <w:r>
        <w:rPr>
          <w:rStyle w:val="FootnoteReference"/>
        </w:rPr>
        <w:footnoteRef/>
      </w:r>
      <w:r>
        <w:t xml:space="preserve"> </w:t>
      </w:r>
      <w:r w:rsidRPr="00CE5E14">
        <w:rPr>
          <w:rFonts w:ascii="Arial" w:hAnsi="Arial" w:cs="Arial"/>
          <w:sz w:val="18"/>
          <w:szCs w:val="18"/>
        </w:rPr>
        <w:t xml:space="preserve">Australian Government Labour Market </w:t>
      </w:r>
      <w:r>
        <w:rPr>
          <w:rFonts w:ascii="Arial" w:hAnsi="Arial" w:cs="Arial"/>
          <w:sz w:val="18"/>
          <w:szCs w:val="18"/>
        </w:rPr>
        <w:t>I</w:t>
      </w:r>
      <w:r w:rsidRPr="00CE5E14">
        <w:rPr>
          <w:rFonts w:ascii="Arial" w:hAnsi="Arial" w:cs="Arial"/>
          <w:sz w:val="18"/>
          <w:szCs w:val="18"/>
        </w:rPr>
        <w:t>nformation Portal</w:t>
      </w:r>
      <w:r>
        <w:rPr>
          <w:rFonts w:ascii="Arial" w:hAnsi="Arial" w:cs="Arial"/>
          <w:sz w:val="18"/>
          <w:szCs w:val="18"/>
        </w:rPr>
        <w:t>:</w:t>
      </w:r>
      <w:r w:rsidRPr="00CE5E14">
        <w:rPr>
          <w:rFonts w:ascii="Arial" w:hAnsi="Arial" w:cs="Arial"/>
          <w:sz w:val="18"/>
          <w:szCs w:val="18"/>
        </w:rPr>
        <w:t xml:space="preserve"> Disability Employment Services (DES) Data</w:t>
      </w:r>
      <w:r>
        <w:rPr>
          <w:rFonts w:ascii="Arial" w:hAnsi="Arial" w:cs="Arial"/>
          <w:sz w:val="18"/>
          <w:szCs w:val="18"/>
        </w:rPr>
        <w:t>, DES Monthly Data 31 March 2021</w:t>
      </w:r>
    </w:p>
  </w:footnote>
  <w:footnote w:id="12">
    <w:p w14:paraId="1656FA29" w14:textId="22DF45E2" w:rsidR="00304FFD" w:rsidRPr="00304FFD" w:rsidRDefault="00304FFD">
      <w:pPr>
        <w:pStyle w:val="FootnoteText"/>
        <w:rPr>
          <w:rFonts w:ascii="Arial" w:hAnsi="Arial" w:cs="Arial"/>
          <w:sz w:val="18"/>
          <w:szCs w:val="18"/>
          <w:lang w:val="en-US"/>
        </w:rPr>
      </w:pPr>
      <w:r>
        <w:rPr>
          <w:rStyle w:val="FootnoteReference"/>
        </w:rPr>
        <w:footnoteRef/>
      </w:r>
      <w:r>
        <w:t xml:space="preserve"> </w:t>
      </w:r>
      <w:r w:rsidRPr="00304FFD">
        <w:rPr>
          <w:rFonts w:ascii="Arial" w:hAnsi="Arial" w:cs="Arial"/>
          <w:sz w:val="18"/>
          <w:szCs w:val="18"/>
          <w:lang w:val="en-US"/>
        </w:rPr>
        <w:t xml:space="preserve">Australian Government (2021) Job Jumpstart </w:t>
      </w:r>
      <w:hyperlink r:id="rId4" w:history="1">
        <w:r w:rsidRPr="00304FFD">
          <w:rPr>
            <w:rStyle w:val="Hyperlink"/>
            <w:rFonts w:ascii="Arial" w:hAnsi="Arial" w:cs="Arial"/>
            <w:sz w:val="18"/>
            <w:szCs w:val="18"/>
            <w:lang w:val="en-US"/>
          </w:rPr>
          <w:t>https://www.jobjumpstart.gov.au/article/how-find-hidden-vacancies</w:t>
        </w:r>
      </w:hyperlink>
      <w:r w:rsidRPr="00304FFD">
        <w:rPr>
          <w:rFonts w:ascii="Arial" w:hAnsi="Arial" w:cs="Arial"/>
          <w:sz w:val="18"/>
          <w:szCs w:val="18"/>
          <w:lang w:val="en-US"/>
        </w:rPr>
        <w:t xml:space="preserve"> </w:t>
      </w:r>
    </w:p>
  </w:footnote>
  <w:footnote w:id="13">
    <w:p w14:paraId="5A8ABDB9" w14:textId="170AA430" w:rsidR="000326E6" w:rsidRPr="000326E6" w:rsidRDefault="000326E6">
      <w:pPr>
        <w:pStyle w:val="FootnoteText"/>
        <w:rPr>
          <w:rFonts w:ascii="Arial" w:hAnsi="Arial" w:cs="Arial"/>
          <w:sz w:val="18"/>
          <w:szCs w:val="18"/>
          <w:lang w:val="en-US"/>
        </w:rPr>
      </w:pPr>
      <w:r>
        <w:rPr>
          <w:rStyle w:val="FootnoteReference"/>
        </w:rPr>
        <w:footnoteRef/>
      </w:r>
      <w:r>
        <w:t xml:space="preserve"> </w:t>
      </w:r>
      <w:r w:rsidRPr="000326E6">
        <w:rPr>
          <w:rFonts w:ascii="Arial" w:hAnsi="Arial" w:cs="Arial"/>
          <w:sz w:val="18"/>
          <w:szCs w:val="18"/>
        </w:rPr>
        <w:t>Carter E W, Austin D &amp; Trainor A A</w:t>
      </w:r>
      <w:r>
        <w:rPr>
          <w:rFonts w:ascii="Arial" w:hAnsi="Arial" w:cs="Arial"/>
          <w:sz w:val="18"/>
          <w:szCs w:val="18"/>
        </w:rPr>
        <w:t xml:space="preserve"> (</w:t>
      </w:r>
      <w:r w:rsidRPr="000326E6">
        <w:rPr>
          <w:rFonts w:ascii="Arial" w:hAnsi="Arial" w:cs="Arial"/>
          <w:sz w:val="18"/>
          <w:szCs w:val="18"/>
        </w:rPr>
        <w:t>2012</w:t>
      </w:r>
      <w:r>
        <w:rPr>
          <w:rFonts w:ascii="Arial" w:hAnsi="Arial" w:cs="Arial"/>
          <w:sz w:val="18"/>
          <w:szCs w:val="18"/>
        </w:rPr>
        <w:t>)</w:t>
      </w:r>
      <w:r w:rsidRPr="000326E6">
        <w:rPr>
          <w:rFonts w:ascii="Arial" w:hAnsi="Arial" w:cs="Arial"/>
          <w:sz w:val="18"/>
          <w:szCs w:val="18"/>
        </w:rPr>
        <w:t xml:space="preserve">, Predictors of postschool employment outcomes for young adults with severe disabilities, </w:t>
      </w:r>
      <w:r w:rsidRPr="000326E6">
        <w:rPr>
          <w:rFonts w:ascii="Arial" w:hAnsi="Arial" w:cs="Arial"/>
          <w:i/>
          <w:iCs/>
          <w:sz w:val="18"/>
          <w:szCs w:val="18"/>
        </w:rPr>
        <w:t>Journal of Disability Policy Studies</w:t>
      </w:r>
      <w:r w:rsidRPr="000326E6">
        <w:rPr>
          <w:rFonts w:ascii="Arial" w:hAnsi="Arial" w:cs="Arial"/>
          <w:sz w:val="18"/>
          <w:szCs w:val="18"/>
        </w:rPr>
        <w:t>, 23(1), 50-63</w:t>
      </w:r>
      <w:r w:rsidR="00631512">
        <w:rPr>
          <w:rFonts w:ascii="Arial" w:hAnsi="Arial" w:cs="Arial"/>
          <w:sz w:val="18"/>
          <w:szCs w:val="18"/>
        </w:rPr>
        <w:t xml:space="preserve">; </w:t>
      </w:r>
      <w:r w:rsidR="00631512" w:rsidRPr="00631512">
        <w:rPr>
          <w:rFonts w:ascii="Arial" w:hAnsi="Arial" w:cs="Arial"/>
          <w:sz w:val="18"/>
          <w:szCs w:val="18"/>
        </w:rPr>
        <w:t>Haber M G, Mazzotti V L, Mustain A L, Rowe D A, Ba</w:t>
      </w:r>
      <w:r w:rsidR="00631512">
        <w:rPr>
          <w:rFonts w:ascii="Arial" w:hAnsi="Arial" w:cs="Arial"/>
          <w:sz w:val="18"/>
          <w:szCs w:val="18"/>
        </w:rPr>
        <w:t>r</w:t>
      </w:r>
      <w:r w:rsidR="00631512" w:rsidRPr="00631512">
        <w:rPr>
          <w:rFonts w:ascii="Arial" w:hAnsi="Arial" w:cs="Arial"/>
          <w:sz w:val="18"/>
          <w:szCs w:val="18"/>
        </w:rPr>
        <w:t>tholomew A L, Test D W &amp; Fowler C H</w:t>
      </w:r>
      <w:r w:rsidR="00631512">
        <w:rPr>
          <w:rFonts w:ascii="Arial" w:hAnsi="Arial" w:cs="Arial"/>
          <w:sz w:val="18"/>
          <w:szCs w:val="18"/>
        </w:rPr>
        <w:t xml:space="preserve"> (</w:t>
      </w:r>
      <w:r w:rsidR="00631512" w:rsidRPr="00631512">
        <w:rPr>
          <w:rFonts w:ascii="Arial" w:hAnsi="Arial" w:cs="Arial"/>
          <w:sz w:val="18"/>
          <w:szCs w:val="18"/>
        </w:rPr>
        <w:t>2016</w:t>
      </w:r>
      <w:r w:rsidR="00631512">
        <w:rPr>
          <w:rFonts w:ascii="Arial" w:hAnsi="Arial" w:cs="Arial"/>
          <w:sz w:val="18"/>
          <w:szCs w:val="18"/>
        </w:rPr>
        <w:t>)</w:t>
      </w:r>
      <w:r w:rsidR="00631512" w:rsidRPr="00631512">
        <w:rPr>
          <w:rFonts w:ascii="Arial" w:hAnsi="Arial" w:cs="Arial"/>
          <w:sz w:val="18"/>
          <w:szCs w:val="18"/>
        </w:rPr>
        <w:t xml:space="preserve">, What works, when, for whom, and with whom: A meta-analytic review of predictors of postsecondary success for students with disabilities, </w:t>
      </w:r>
      <w:r w:rsidR="00631512" w:rsidRPr="00631512">
        <w:rPr>
          <w:rFonts w:ascii="Arial" w:hAnsi="Arial" w:cs="Arial"/>
          <w:i/>
          <w:iCs/>
          <w:sz w:val="18"/>
          <w:szCs w:val="18"/>
        </w:rPr>
        <w:t>Review of Educational Research</w:t>
      </w:r>
      <w:r w:rsidR="00631512" w:rsidRPr="00631512">
        <w:rPr>
          <w:rFonts w:ascii="Arial" w:hAnsi="Arial" w:cs="Arial"/>
          <w:sz w:val="18"/>
          <w:szCs w:val="18"/>
        </w:rPr>
        <w:t>, 86(1), 123-162</w:t>
      </w:r>
    </w:p>
  </w:footnote>
  <w:footnote w:id="14">
    <w:p w14:paraId="522D3C68" w14:textId="24AAFA8B" w:rsidR="00EF18C4" w:rsidRPr="00EF18C4" w:rsidRDefault="00EF18C4">
      <w:pPr>
        <w:pStyle w:val="FootnoteText"/>
        <w:rPr>
          <w:lang w:val="en-US"/>
        </w:rPr>
      </w:pPr>
      <w:r>
        <w:rPr>
          <w:rStyle w:val="FootnoteReference"/>
        </w:rPr>
        <w:footnoteRef/>
      </w:r>
      <w:r>
        <w:t xml:space="preserve"> </w:t>
      </w:r>
      <w:r w:rsidRPr="00EF18C4">
        <w:rPr>
          <w:rFonts w:ascii="Arial" w:hAnsi="Arial" w:cs="Arial"/>
          <w:sz w:val="18"/>
          <w:szCs w:val="18"/>
          <w:lang w:val="en-US"/>
        </w:rPr>
        <w:t xml:space="preserve">International Labour Organization (2015) Decent </w:t>
      </w:r>
      <w:r w:rsidR="002302E1">
        <w:rPr>
          <w:rFonts w:ascii="Arial" w:hAnsi="Arial" w:cs="Arial"/>
          <w:sz w:val="18"/>
          <w:szCs w:val="18"/>
          <w:lang w:val="en-US"/>
        </w:rPr>
        <w:t>w</w:t>
      </w:r>
      <w:r w:rsidRPr="00EF18C4">
        <w:rPr>
          <w:rFonts w:ascii="Arial" w:hAnsi="Arial" w:cs="Arial"/>
          <w:sz w:val="18"/>
          <w:szCs w:val="18"/>
          <w:lang w:val="en-US"/>
        </w:rPr>
        <w:t xml:space="preserve">ork </w:t>
      </w:r>
      <w:hyperlink r:id="rId5" w:history="1">
        <w:r w:rsidRPr="00EF18C4">
          <w:rPr>
            <w:rStyle w:val="Hyperlink"/>
            <w:rFonts w:ascii="Arial" w:hAnsi="Arial" w:cs="Arial"/>
            <w:sz w:val="18"/>
            <w:szCs w:val="18"/>
            <w:lang w:val="en-US"/>
          </w:rPr>
          <w:t>http://www.ilo.org/global/topics/decent-work/lang--en/index.htm</w:t>
        </w:r>
      </w:hyperlink>
      <w:r>
        <w:rPr>
          <w:lang w:val="en-US"/>
        </w:rPr>
        <w:t xml:space="preserve"> </w:t>
      </w:r>
    </w:p>
  </w:footnote>
  <w:footnote w:id="15">
    <w:p w14:paraId="2E8A1B10" w14:textId="5C44EA12" w:rsidR="00F50CC3" w:rsidRPr="00F50CC3" w:rsidRDefault="00F50CC3">
      <w:pPr>
        <w:pStyle w:val="FootnoteText"/>
        <w:rPr>
          <w:lang w:val="en-US"/>
        </w:rPr>
      </w:pPr>
      <w:r>
        <w:rPr>
          <w:rStyle w:val="FootnoteReference"/>
        </w:rPr>
        <w:footnoteRef/>
      </w:r>
      <w:r>
        <w:t xml:space="preserve"> </w:t>
      </w:r>
      <w:r w:rsidR="00CD6A05" w:rsidRPr="00A3559D">
        <w:rPr>
          <w:rFonts w:ascii="Arial" w:hAnsi="Arial" w:cs="Arial"/>
          <w:sz w:val="18"/>
          <w:szCs w:val="18"/>
        </w:rPr>
        <w:t xml:space="preserve">Parliament of Australia (2019) </w:t>
      </w:r>
      <w:r w:rsidR="00CD6A05" w:rsidRPr="009F0AE3">
        <w:rPr>
          <w:rFonts w:ascii="Arial" w:hAnsi="Arial" w:cs="Arial"/>
          <w:i/>
          <w:iCs/>
          <w:sz w:val="18"/>
          <w:szCs w:val="18"/>
        </w:rPr>
        <w:t>Jobactive: failing those it is intended to serve</w:t>
      </w:r>
      <w:r w:rsidR="00CD6A05" w:rsidRPr="00F50CC3">
        <w:rPr>
          <w:rFonts w:ascii="Arial" w:hAnsi="Arial" w:cs="Arial"/>
          <w:sz w:val="18"/>
          <w:szCs w:val="18"/>
        </w:rPr>
        <w:t xml:space="preserve"> </w:t>
      </w:r>
      <w:r w:rsidR="00CD6A05">
        <w:rPr>
          <w:rFonts w:ascii="Arial" w:hAnsi="Arial" w:cs="Arial"/>
          <w:sz w:val="18"/>
          <w:szCs w:val="18"/>
        </w:rPr>
        <w:t>Chapter 6 Engagement with employers</w:t>
      </w:r>
    </w:p>
  </w:footnote>
  <w:footnote w:id="16">
    <w:p w14:paraId="581F8249" w14:textId="65420C4D" w:rsidR="00A0240C" w:rsidRPr="00A0240C" w:rsidRDefault="00A0240C">
      <w:pPr>
        <w:pStyle w:val="FootnoteText"/>
        <w:rPr>
          <w:lang w:val="en-US"/>
        </w:rPr>
      </w:pPr>
      <w:r>
        <w:rPr>
          <w:rStyle w:val="FootnoteReference"/>
        </w:rPr>
        <w:footnoteRef/>
      </w:r>
      <w:r>
        <w:t xml:space="preserve"> </w:t>
      </w:r>
      <w:r w:rsidRPr="00A0240C">
        <w:rPr>
          <w:rFonts w:ascii="Arial" w:hAnsi="Arial" w:cs="Arial"/>
          <w:sz w:val="18"/>
          <w:szCs w:val="18"/>
        </w:rPr>
        <w:t xml:space="preserve">Reiff, H. B., Ginsberg, R., &amp; Gerber, P. J. (1995). New perspectives on teaching from successful adults with learning disability. </w:t>
      </w:r>
      <w:r w:rsidRPr="00A0240C">
        <w:rPr>
          <w:rFonts w:ascii="Arial" w:hAnsi="Arial" w:cs="Arial"/>
          <w:i/>
          <w:iCs/>
          <w:sz w:val="18"/>
          <w:szCs w:val="18"/>
        </w:rPr>
        <w:t>Remedial and Special Education</w:t>
      </w:r>
      <w:r w:rsidRPr="00A0240C">
        <w:rPr>
          <w:rFonts w:ascii="Arial" w:hAnsi="Arial" w:cs="Arial"/>
          <w:sz w:val="18"/>
          <w:szCs w:val="18"/>
        </w:rPr>
        <w:t xml:space="preserve">, 16(1), 29-37; Specialisterne </w:t>
      </w:r>
      <w:hyperlink r:id="rId6" w:history="1">
        <w:r w:rsidRPr="00A0240C">
          <w:rPr>
            <w:rStyle w:val="Hyperlink"/>
            <w:rFonts w:ascii="Arial" w:hAnsi="Arial" w:cs="Arial"/>
            <w:sz w:val="18"/>
            <w:szCs w:val="18"/>
          </w:rPr>
          <w:t>https://specialisterne.com.au/</w:t>
        </w:r>
      </w:hyperlink>
      <w:r>
        <w:rPr>
          <w:rFonts w:ascii="Arial" w:hAnsi="Arial" w:cs="Arial"/>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6E3C" w14:textId="228F9E10" w:rsidR="005F3846" w:rsidRPr="00232299" w:rsidRDefault="005F3846" w:rsidP="00232299">
    <w:pPr>
      <w:pStyle w:val="Header"/>
      <w:pBdr>
        <w:bottom w:val="single" w:sz="4" w:space="1"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E89"/>
    <w:multiLevelType w:val="hybridMultilevel"/>
    <w:tmpl w:val="01B82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17C6A"/>
    <w:multiLevelType w:val="hybridMultilevel"/>
    <w:tmpl w:val="6D5AB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546879"/>
    <w:multiLevelType w:val="hybridMultilevel"/>
    <w:tmpl w:val="5DA84FF4"/>
    <w:lvl w:ilvl="0" w:tplc="B732AF22">
      <w:start w:val="1"/>
      <w:numFmt w:val="bullet"/>
      <w:lvlText w:val="•"/>
      <w:lvlJc w:val="left"/>
      <w:pPr>
        <w:tabs>
          <w:tab w:val="num" w:pos="720"/>
        </w:tabs>
        <w:ind w:left="720" w:hanging="360"/>
      </w:pPr>
      <w:rPr>
        <w:rFonts w:ascii="Arial" w:hAnsi="Arial" w:hint="default"/>
      </w:rPr>
    </w:lvl>
    <w:lvl w:ilvl="1" w:tplc="45BCB5E0" w:tentative="1">
      <w:start w:val="1"/>
      <w:numFmt w:val="bullet"/>
      <w:lvlText w:val="•"/>
      <w:lvlJc w:val="left"/>
      <w:pPr>
        <w:tabs>
          <w:tab w:val="num" w:pos="1440"/>
        </w:tabs>
        <w:ind w:left="1440" w:hanging="360"/>
      </w:pPr>
      <w:rPr>
        <w:rFonts w:ascii="Arial" w:hAnsi="Arial" w:hint="default"/>
      </w:rPr>
    </w:lvl>
    <w:lvl w:ilvl="2" w:tplc="E7B6E20E" w:tentative="1">
      <w:start w:val="1"/>
      <w:numFmt w:val="bullet"/>
      <w:lvlText w:val="•"/>
      <w:lvlJc w:val="left"/>
      <w:pPr>
        <w:tabs>
          <w:tab w:val="num" w:pos="2160"/>
        </w:tabs>
        <w:ind w:left="2160" w:hanging="360"/>
      </w:pPr>
      <w:rPr>
        <w:rFonts w:ascii="Arial" w:hAnsi="Arial" w:hint="default"/>
      </w:rPr>
    </w:lvl>
    <w:lvl w:ilvl="3" w:tplc="ECE0DF9C" w:tentative="1">
      <w:start w:val="1"/>
      <w:numFmt w:val="bullet"/>
      <w:lvlText w:val="•"/>
      <w:lvlJc w:val="left"/>
      <w:pPr>
        <w:tabs>
          <w:tab w:val="num" w:pos="2880"/>
        </w:tabs>
        <w:ind w:left="2880" w:hanging="360"/>
      </w:pPr>
      <w:rPr>
        <w:rFonts w:ascii="Arial" w:hAnsi="Arial" w:hint="default"/>
      </w:rPr>
    </w:lvl>
    <w:lvl w:ilvl="4" w:tplc="19624D88" w:tentative="1">
      <w:start w:val="1"/>
      <w:numFmt w:val="bullet"/>
      <w:lvlText w:val="•"/>
      <w:lvlJc w:val="left"/>
      <w:pPr>
        <w:tabs>
          <w:tab w:val="num" w:pos="3600"/>
        </w:tabs>
        <w:ind w:left="3600" w:hanging="360"/>
      </w:pPr>
      <w:rPr>
        <w:rFonts w:ascii="Arial" w:hAnsi="Arial" w:hint="default"/>
      </w:rPr>
    </w:lvl>
    <w:lvl w:ilvl="5" w:tplc="D120477A" w:tentative="1">
      <w:start w:val="1"/>
      <w:numFmt w:val="bullet"/>
      <w:lvlText w:val="•"/>
      <w:lvlJc w:val="left"/>
      <w:pPr>
        <w:tabs>
          <w:tab w:val="num" w:pos="4320"/>
        </w:tabs>
        <w:ind w:left="4320" w:hanging="360"/>
      </w:pPr>
      <w:rPr>
        <w:rFonts w:ascii="Arial" w:hAnsi="Arial" w:hint="default"/>
      </w:rPr>
    </w:lvl>
    <w:lvl w:ilvl="6" w:tplc="7264F372" w:tentative="1">
      <w:start w:val="1"/>
      <w:numFmt w:val="bullet"/>
      <w:lvlText w:val="•"/>
      <w:lvlJc w:val="left"/>
      <w:pPr>
        <w:tabs>
          <w:tab w:val="num" w:pos="5040"/>
        </w:tabs>
        <w:ind w:left="5040" w:hanging="360"/>
      </w:pPr>
      <w:rPr>
        <w:rFonts w:ascii="Arial" w:hAnsi="Arial" w:hint="default"/>
      </w:rPr>
    </w:lvl>
    <w:lvl w:ilvl="7" w:tplc="251C0D62" w:tentative="1">
      <w:start w:val="1"/>
      <w:numFmt w:val="bullet"/>
      <w:lvlText w:val="•"/>
      <w:lvlJc w:val="left"/>
      <w:pPr>
        <w:tabs>
          <w:tab w:val="num" w:pos="5760"/>
        </w:tabs>
        <w:ind w:left="5760" w:hanging="360"/>
      </w:pPr>
      <w:rPr>
        <w:rFonts w:ascii="Arial" w:hAnsi="Arial" w:hint="default"/>
      </w:rPr>
    </w:lvl>
    <w:lvl w:ilvl="8" w:tplc="EAA68C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A52820"/>
    <w:multiLevelType w:val="hybridMultilevel"/>
    <w:tmpl w:val="1DB2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2115C0"/>
    <w:multiLevelType w:val="hybridMultilevel"/>
    <w:tmpl w:val="5AAE4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7A3088"/>
    <w:multiLevelType w:val="hybridMultilevel"/>
    <w:tmpl w:val="21367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104012"/>
    <w:multiLevelType w:val="hybridMultilevel"/>
    <w:tmpl w:val="7B26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D83300"/>
    <w:multiLevelType w:val="hybridMultilevel"/>
    <w:tmpl w:val="B56A4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96200B"/>
    <w:multiLevelType w:val="hybridMultilevel"/>
    <w:tmpl w:val="D562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754173"/>
    <w:multiLevelType w:val="hybridMultilevel"/>
    <w:tmpl w:val="4D367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3136B5"/>
    <w:multiLevelType w:val="hybridMultilevel"/>
    <w:tmpl w:val="F3C69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8"/>
  </w:num>
  <w:num w:numId="4">
    <w:abstractNumId w:val="4"/>
  </w:num>
  <w:num w:numId="5">
    <w:abstractNumId w:val="7"/>
  </w:num>
  <w:num w:numId="6">
    <w:abstractNumId w:val="0"/>
  </w:num>
  <w:num w:numId="7">
    <w:abstractNumId w:val="2"/>
  </w:num>
  <w:num w:numId="8">
    <w:abstractNumId w:val="1"/>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79CC11-F676-4703-9E1A-3108ED811088}"/>
    <w:docVar w:name="dgnword-eventsink" w:val="418927984"/>
  </w:docVars>
  <w:rsids>
    <w:rsidRoot w:val="007F3B51"/>
    <w:rsid w:val="00006BA7"/>
    <w:rsid w:val="00010045"/>
    <w:rsid w:val="0002554E"/>
    <w:rsid w:val="0003168F"/>
    <w:rsid w:val="000326E6"/>
    <w:rsid w:val="000457BB"/>
    <w:rsid w:val="00045DCB"/>
    <w:rsid w:val="000467F4"/>
    <w:rsid w:val="000728CC"/>
    <w:rsid w:val="00072B9B"/>
    <w:rsid w:val="00074691"/>
    <w:rsid w:val="0007712C"/>
    <w:rsid w:val="00081FD3"/>
    <w:rsid w:val="000843C9"/>
    <w:rsid w:val="0008505E"/>
    <w:rsid w:val="00096E47"/>
    <w:rsid w:val="000A0C7A"/>
    <w:rsid w:val="000A6072"/>
    <w:rsid w:val="000B649F"/>
    <w:rsid w:val="000C2E5C"/>
    <w:rsid w:val="000C489C"/>
    <w:rsid w:val="000D0BCB"/>
    <w:rsid w:val="000E17A6"/>
    <w:rsid w:val="0010690C"/>
    <w:rsid w:val="00110519"/>
    <w:rsid w:val="00113A21"/>
    <w:rsid w:val="00115E77"/>
    <w:rsid w:val="0012685E"/>
    <w:rsid w:val="00130114"/>
    <w:rsid w:val="00130251"/>
    <w:rsid w:val="001366D9"/>
    <w:rsid w:val="00141FCD"/>
    <w:rsid w:val="001479D8"/>
    <w:rsid w:val="00151584"/>
    <w:rsid w:val="001617EE"/>
    <w:rsid w:val="0016394B"/>
    <w:rsid w:val="00163BC7"/>
    <w:rsid w:val="00174168"/>
    <w:rsid w:val="00174961"/>
    <w:rsid w:val="00176119"/>
    <w:rsid w:val="0018130D"/>
    <w:rsid w:val="001B2DA8"/>
    <w:rsid w:val="001B3300"/>
    <w:rsid w:val="001B4473"/>
    <w:rsid w:val="001C3C7D"/>
    <w:rsid w:val="001E4C07"/>
    <w:rsid w:val="00202331"/>
    <w:rsid w:val="00202FED"/>
    <w:rsid w:val="00204E92"/>
    <w:rsid w:val="002302E1"/>
    <w:rsid w:val="00232299"/>
    <w:rsid w:val="00232CF9"/>
    <w:rsid w:val="002353E1"/>
    <w:rsid w:val="00256562"/>
    <w:rsid w:val="0026699E"/>
    <w:rsid w:val="00284C1B"/>
    <w:rsid w:val="002B142B"/>
    <w:rsid w:val="002B29C9"/>
    <w:rsid w:val="002B2EF2"/>
    <w:rsid w:val="002B4F07"/>
    <w:rsid w:val="002D0C51"/>
    <w:rsid w:val="002E4DA0"/>
    <w:rsid w:val="00300413"/>
    <w:rsid w:val="00304FFD"/>
    <w:rsid w:val="00314245"/>
    <w:rsid w:val="00326E9D"/>
    <w:rsid w:val="00346E01"/>
    <w:rsid w:val="00362CD7"/>
    <w:rsid w:val="00380916"/>
    <w:rsid w:val="00385B6E"/>
    <w:rsid w:val="003944F0"/>
    <w:rsid w:val="003957B3"/>
    <w:rsid w:val="00397F6E"/>
    <w:rsid w:val="003A7065"/>
    <w:rsid w:val="003B55B5"/>
    <w:rsid w:val="003D0DE1"/>
    <w:rsid w:val="003D4F78"/>
    <w:rsid w:val="003D5E1D"/>
    <w:rsid w:val="003E1E0E"/>
    <w:rsid w:val="003F3F95"/>
    <w:rsid w:val="003F5A32"/>
    <w:rsid w:val="0040324B"/>
    <w:rsid w:val="004051C8"/>
    <w:rsid w:val="00415565"/>
    <w:rsid w:val="00417372"/>
    <w:rsid w:val="00426384"/>
    <w:rsid w:val="00430D5E"/>
    <w:rsid w:val="004377ED"/>
    <w:rsid w:val="004452C8"/>
    <w:rsid w:val="00456BE1"/>
    <w:rsid w:val="00476008"/>
    <w:rsid w:val="00482360"/>
    <w:rsid w:val="00485BCF"/>
    <w:rsid w:val="00490C8E"/>
    <w:rsid w:val="004B2BB3"/>
    <w:rsid w:val="004C3F08"/>
    <w:rsid w:val="004D3FF5"/>
    <w:rsid w:val="004D50F0"/>
    <w:rsid w:val="004E3E37"/>
    <w:rsid w:val="00530128"/>
    <w:rsid w:val="005366D8"/>
    <w:rsid w:val="005412F1"/>
    <w:rsid w:val="00561E21"/>
    <w:rsid w:val="0056298D"/>
    <w:rsid w:val="005644B0"/>
    <w:rsid w:val="005A6AA6"/>
    <w:rsid w:val="005C209B"/>
    <w:rsid w:val="005C7E68"/>
    <w:rsid w:val="005E07F9"/>
    <w:rsid w:val="005E4956"/>
    <w:rsid w:val="005F3846"/>
    <w:rsid w:val="0061155C"/>
    <w:rsid w:val="00614525"/>
    <w:rsid w:val="00622E0C"/>
    <w:rsid w:val="00631512"/>
    <w:rsid w:val="00636FA9"/>
    <w:rsid w:val="00637F84"/>
    <w:rsid w:val="006406C8"/>
    <w:rsid w:val="00645A79"/>
    <w:rsid w:val="00645D63"/>
    <w:rsid w:val="00653E90"/>
    <w:rsid w:val="00655A44"/>
    <w:rsid w:val="00657862"/>
    <w:rsid w:val="0067423C"/>
    <w:rsid w:val="006805EB"/>
    <w:rsid w:val="006946A9"/>
    <w:rsid w:val="006D1357"/>
    <w:rsid w:val="006D201D"/>
    <w:rsid w:val="006D5515"/>
    <w:rsid w:val="006D7776"/>
    <w:rsid w:val="006E6AF4"/>
    <w:rsid w:val="006F0F09"/>
    <w:rsid w:val="006F1BB0"/>
    <w:rsid w:val="006F753B"/>
    <w:rsid w:val="00724634"/>
    <w:rsid w:val="00734C26"/>
    <w:rsid w:val="00734CE4"/>
    <w:rsid w:val="00737D11"/>
    <w:rsid w:val="007529C0"/>
    <w:rsid w:val="00755299"/>
    <w:rsid w:val="00762D45"/>
    <w:rsid w:val="0077762E"/>
    <w:rsid w:val="007A5051"/>
    <w:rsid w:val="007C122B"/>
    <w:rsid w:val="007C35C2"/>
    <w:rsid w:val="007C5944"/>
    <w:rsid w:val="007D7B55"/>
    <w:rsid w:val="007E67AE"/>
    <w:rsid w:val="007F042C"/>
    <w:rsid w:val="007F3B51"/>
    <w:rsid w:val="00802775"/>
    <w:rsid w:val="00815618"/>
    <w:rsid w:val="00822A15"/>
    <w:rsid w:val="008245B7"/>
    <w:rsid w:val="00824C7B"/>
    <w:rsid w:val="00826A9D"/>
    <w:rsid w:val="00832093"/>
    <w:rsid w:val="00841325"/>
    <w:rsid w:val="008413C7"/>
    <w:rsid w:val="00852113"/>
    <w:rsid w:val="00866041"/>
    <w:rsid w:val="008A037D"/>
    <w:rsid w:val="008B0EE4"/>
    <w:rsid w:val="008C22E2"/>
    <w:rsid w:val="008C6E61"/>
    <w:rsid w:val="008D1041"/>
    <w:rsid w:val="008D22BF"/>
    <w:rsid w:val="008E71BD"/>
    <w:rsid w:val="008F1D6F"/>
    <w:rsid w:val="008F42DE"/>
    <w:rsid w:val="009030B4"/>
    <w:rsid w:val="009203F8"/>
    <w:rsid w:val="0092556C"/>
    <w:rsid w:val="00925C3E"/>
    <w:rsid w:val="0092792D"/>
    <w:rsid w:val="009346CA"/>
    <w:rsid w:val="0093506E"/>
    <w:rsid w:val="00952C6E"/>
    <w:rsid w:val="0096385C"/>
    <w:rsid w:val="009646A4"/>
    <w:rsid w:val="00976A32"/>
    <w:rsid w:val="009A1AB5"/>
    <w:rsid w:val="009B3462"/>
    <w:rsid w:val="009D614B"/>
    <w:rsid w:val="009D709C"/>
    <w:rsid w:val="009E10CB"/>
    <w:rsid w:val="009E5187"/>
    <w:rsid w:val="009F0AE3"/>
    <w:rsid w:val="00A0240C"/>
    <w:rsid w:val="00A047D7"/>
    <w:rsid w:val="00A13BF5"/>
    <w:rsid w:val="00A22586"/>
    <w:rsid w:val="00A2308B"/>
    <w:rsid w:val="00A24547"/>
    <w:rsid w:val="00A32F94"/>
    <w:rsid w:val="00A3559D"/>
    <w:rsid w:val="00A40335"/>
    <w:rsid w:val="00A4187C"/>
    <w:rsid w:val="00A524DC"/>
    <w:rsid w:val="00A538A0"/>
    <w:rsid w:val="00A55E91"/>
    <w:rsid w:val="00A7240A"/>
    <w:rsid w:val="00A863AA"/>
    <w:rsid w:val="00A900D3"/>
    <w:rsid w:val="00A950BD"/>
    <w:rsid w:val="00A95D01"/>
    <w:rsid w:val="00A96DB1"/>
    <w:rsid w:val="00AA03D7"/>
    <w:rsid w:val="00AB3A8F"/>
    <w:rsid w:val="00AB48E9"/>
    <w:rsid w:val="00AD17AA"/>
    <w:rsid w:val="00AE1AB2"/>
    <w:rsid w:val="00AE316A"/>
    <w:rsid w:val="00AF56B1"/>
    <w:rsid w:val="00B014A0"/>
    <w:rsid w:val="00B12DE1"/>
    <w:rsid w:val="00B22D18"/>
    <w:rsid w:val="00B273F0"/>
    <w:rsid w:val="00B322FA"/>
    <w:rsid w:val="00B3318C"/>
    <w:rsid w:val="00B34516"/>
    <w:rsid w:val="00B40395"/>
    <w:rsid w:val="00B40890"/>
    <w:rsid w:val="00B43BCA"/>
    <w:rsid w:val="00B61FB1"/>
    <w:rsid w:val="00B81F2C"/>
    <w:rsid w:val="00B82215"/>
    <w:rsid w:val="00B8229D"/>
    <w:rsid w:val="00B82CFA"/>
    <w:rsid w:val="00B9168A"/>
    <w:rsid w:val="00B93DE6"/>
    <w:rsid w:val="00B9533C"/>
    <w:rsid w:val="00BA05FD"/>
    <w:rsid w:val="00BA1944"/>
    <w:rsid w:val="00BA415C"/>
    <w:rsid w:val="00BB3421"/>
    <w:rsid w:val="00BC1E3B"/>
    <w:rsid w:val="00BC626F"/>
    <w:rsid w:val="00BD4850"/>
    <w:rsid w:val="00BD5C94"/>
    <w:rsid w:val="00BE0207"/>
    <w:rsid w:val="00BE38FE"/>
    <w:rsid w:val="00C13954"/>
    <w:rsid w:val="00C13F9E"/>
    <w:rsid w:val="00C1694F"/>
    <w:rsid w:val="00C17AFA"/>
    <w:rsid w:val="00C20369"/>
    <w:rsid w:val="00C21B9D"/>
    <w:rsid w:val="00C422C6"/>
    <w:rsid w:val="00C427FF"/>
    <w:rsid w:val="00C55A28"/>
    <w:rsid w:val="00C55FC7"/>
    <w:rsid w:val="00C60DC4"/>
    <w:rsid w:val="00C628BF"/>
    <w:rsid w:val="00C67E3F"/>
    <w:rsid w:val="00C75E4E"/>
    <w:rsid w:val="00C7759E"/>
    <w:rsid w:val="00C85112"/>
    <w:rsid w:val="00C910CF"/>
    <w:rsid w:val="00C92D2B"/>
    <w:rsid w:val="00CC1B0B"/>
    <w:rsid w:val="00CD6A05"/>
    <w:rsid w:val="00CD6D66"/>
    <w:rsid w:val="00CD7647"/>
    <w:rsid w:val="00CE06EC"/>
    <w:rsid w:val="00CE5E14"/>
    <w:rsid w:val="00D0463E"/>
    <w:rsid w:val="00D05567"/>
    <w:rsid w:val="00D22060"/>
    <w:rsid w:val="00D35C82"/>
    <w:rsid w:val="00D745B2"/>
    <w:rsid w:val="00D855C3"/>
    <w:rsid w:val="00D857B3"/>
    <w:rsid w:val="00DA0204"/>
    <w:rsid w:val="00DA68DF"/>
    <w:rsid w:val="00DC4D88"/>
    <w:rsid w:val="00DC795B"/>
    <w:rsid w:val="00DD0D10"/>
    <w:rsid w:val="00DE6C23"/>
    <w:rsid w:val="00DF227C"/>
    <w:rsid w:val="00DF61AB"/>
    <w:rsid w:val="00E14157"/>
    <w:rsid w:val="00E217F8"/>
    <w:rsid w:val="00E80727"/>
    <w:rsid w:val="00E87E0B"/>
    <w:rsid w:val="00E95630"/>
    <w:rsid w:val="00EA11BF"/>
    <w:rsid w:val="00EA6FF6"/>
    <w:rsid w:val="00EC0A95"/>
    <w:rsid w:val="00EC411F"/>
    <w:rsid w:val="00ED4130"/>
    <w:rsid w:val="00EF18C4"/>
    <w:rsid w:val="00F16020"/>
    <w:rsid w:val="00F25FD6"/>
    <w:rsid w:val="00F322BA"/>
    <w:rsid w:val="00F340A7"/>
    <w:rsid w:val="00F35CA0"/>
    <w:rsid w:val="00F43FFC"/>
    <w:rsid w:val="00F50CC3"/>
    <w:rsid w:val="00F52295"/>
    <w:rsid w:val="00F537C3"/>
    <w:rsid w:val="00F572F2"/>
    <w:rsid w:val="00F729C8"/>
    <w:rsid w:val="00F92C6B"/>
    <w:rsid w:val="00F9624C"/>
    <w:rsid w:val="00FA64AD"/>
    <w:rsid w:val="00FB0C66"/>
    <w:rsid w:val="00FB3043"/>
    <w:rsid w:val="00FB59C8"/>
    <w:rsid w:val="00FC04D0"/>
    <w:rsid w:val="00FD2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EAC3"/>
  <w15:chartTrackingRefBased/>
  <w15:docId w15:val="{D90473DE-1AED-4D06-AE08-36B69301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335"/>
    <w:pPr>
      <w:keepNext/>
      <w:keepLines/>
      <w:spacing w:before="240" w:after="0"/>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397F6E"/>
    <w:pPr>
      <w:keepNext/>
      <w:keepLines/>
      <w:spacing w:before="40" w:after="0"/>
      <w:outlineLvl w:val="1"/>
    </w:pPr>
    <w:rPr>
      <w:rFonts w:ascii="Arial" w:eastAsiaTheme="majorEastAsia" w:hAnsi="Arial" w:cs="Arial"/>
      <w:color w:val="2F5496" w:themeColor="accent1" w:themeShade="BF"/>
      <w:sz w:val="26"/>
      <w:szCs w:val="26"/>
    </w:rPr>
  </w:style>
  <w:style w:type="paragraph" w:styleId="Heading3">
    <w:name w:val="heading 3"/>
    <w:basedOn w:val="Normal"/>
    <w:next w:val="Normal"/>
    <w:link w:val="Heading3Char"/>
    <w:uiPriority w:val="9"/>
    <w:unhideWhenUsed/>
    <w:qFormat/>
    <w:rsid w:val="00081FD3"/>
    <w:pPr>
      <w:keepNext/>
      <w:keepLines/>
      <w:spacing w:before="40" w:after="0"/>
      <w:outlineLvl w:val="2"/>
    </w:pPr>
    <w:rPr>
      <w:rFonts w:ascii="Arial" w:eastAsiaTheme="majorEastAsia" w:hAnsi="Arial" w:cs="Arial"/>
      <w:color w:val="1F3763" w:themeColor="accent1" w:themeShade="7F"/>
      <w:sz w:val="20"/>
      <w:szCs w:val="20"/>
    </w:rPr>
  </w:style>
  <w:style w:type="paragraph" w:styleId="Heading5">
    <w:name w:val="heading 5"/>
    <w:basedOn w:val="Normal"/>
    <w:link w:val="Heading5Char"/>
    <w:uiPriority w:val="9"/>
    <w:qFormat/>
    <w:rsid w:val="005E4956"/>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22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32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299"/>
  </w:style>
  <w:style w:type="paragraph" w:styleId="Footer">
    <w:name w:val="footer"/>
    <w:basedOn w:val="Normal"/>
    <w:link w:val="FooterChar"/>
    <w:uiPriority w:val="99"/>
    <w:unhideWhenUsed/>
    <w:rsid w:val="00232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299"/>
  </w:style>
  <w:style w:type="paragraph" w:styleId="ListParagraph">
    <w:name w:val="List Paragraph"/>
    <w:basedOn w:val="Normal"/>
    <w:uiPriority w:val="34"/>
    <w:qFormat/>
    <w:rsid w:val="00232299"/>
    <w:pPr>
      <w:ind w:left="720"/>
      <w:contextualSpacing/>
    </w:pPr>
  </w:style>
  <w:style w:type="character" w:styleId="Hyperlink">
    <w:name w:val="Hyperlink"/>
    <w:basedOn w:val="DefaultParagraphFont"/>
    <w:uiPriority w:val="99"/>
    <w:unhideWhenUsed/>
    <w:rsid w:val="001366D9"/>
    <w:rPr>
      <w:color w:val="0563C1" w:themeColor="hyperlink"/>
      <w:u w:val="single"/>
    </w:rPr>
  </w:style>
  <w:style w:type="character" w:styleId="UnresolvedMention">
    <w:name w:val="Unresolved Mention"/>
    <w:basedOn w:val="DefaultParagraphFont"/>
    <w:uiPriority w:val="99"/>
    <w:semiHidden/>
    <w:unhideWhenUsed/>
    <w:rsid w:val="001366D9"/>
    <w:rPr>
      <w:color w:val="605E5C"/>
      <w:shd w:val="clear" w:color="auto" w:fill="E1DFDD"/>
    </w:rPr>
  </w:style>
  <w:style w:type="paragraph" w:styleId="FootnoteText">
    <w:name w:val="footnote text"/>
    <w:basedOn w:val="Normal"/>
    <w:link w:val="FootnoteTextChar"/>
    <w:uiPriority w:val="99"/>
    <w:unhideWhenUsed/>
    <w:rsid w:val="00151584"/>
    <w:pPr>
      <w:spacing w:after="0" w:line="240" w:lineRule="auto"/>
    </w:pPr>
    <w:rPr>
      <w:sz w:val="20"/>
      <w:szCs w:val="20"/>
    </w:rPr>
  </w:style>
  <w:style w:type="character" w:customStyle="1" w:styleId="FootnoteTextChar">
    <w:name w:val="Footnote Text Char"/>
    <w:basedOn w:val="DefaultParagraphFont"/>
    <w:link w:val="FootnoteText"/>
    <w:uiPriority w:val="99"/>
    <w:rsid w:val="00151584"/>
    <w:rPr>
      <w:sz w:val="20"/>
      <w:szCs w:val="20"/>
    </w:rPr>
  </w:style>
  <w:style w:type="character" w:styleId="FootnoteReference">
    <w:name w:val="footnote reference"/>
    <w:basedOn w:val="DefaultParagraphFont"/>
    <w:uiPriority w:val="99"/>
    <w:semiHidden/>
    <w:unhideWhenUsed/>
    <w:rsid w:val="00151584"/>
    <w:rPr>
      <w:vertAlign w:val="superscript"/>
    </w:rPr>
  </w:style>
  <w:style w:type="character" w:styleId="FollowedHyperlink">
    <w:name w:val="FollowedHyperlink"/>
    <w:basedOn w:val="DefaultParagraphFont"/>
    <w:uiPriority w:val="99"/>
    <w:semiHidden/>
    <w:unhideWhenUsed/>
    <w:rsid w:val="005E4956"/>
    <w:rPr>
      <w:color w:val="954F72" w:themeColor="followedHyperlink"/>
      <w:u w:val="single"/>
    </w:rPr>
  </w:style>
  <w:style w:type="character" w:customStyle="1" w:styleId="Heading5Char">
    <w:name w:val="Heading 5 Char"/>
    <w:basedOn w:val="DefaultParagraphFont"/>
    <w:link w:val="Heading5"/>
    <w:uiPriority w:val="9"/>
    <w:rsid w:val="005E4956"/>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397F6E"/>
    <w:rPr>
      <w:rFonts w:ascii="Arial" w:eastAsiaTheme="majorEastAsia" w:hAnsi="Arial" w:cs="Arial"/>
      <w:color w:val="2F5496" w:themeColor="accent1" w:themeShade="BF"/>
      <w:sz w:val="26"/>
      <w:szCs w:val="26"/>
    </w:rPr>
  </w:style>
  <w:style w:type="character" w:customStyle="1" w:styleId="Heading1Char">
    <w:name w:val="Heading 1 Char"/>
    <w:basedOn w:val="DefaultParagraphFont"/>
    <w:link w:val="Heading1"/>
    <w:uiPriority w:val="9"/>
    <w:rsid w:val="00A40335"/>
    <w:rPr>
      <w:rFonts w:ascii="Arial" w:eastAsiaTheme="majorEastAsia" w:hAnsi="Arial" w:cs="Arial"/>
      <w:color w:val="2F5496" w:themeColor="accent1" w:themeShade="BF"/>
      <w:sz w:val="32"/>
      <w:szCs w:val="32"/>
    </w:rPr>
  </w:style>
  <w:style w:type="character" w:styleId="CommentReference">
    <w:name w:val="annotation reference"/>
    <w:basedOn w:val="DefaultParagraphFont"/>
    <w:uiPriority w:val="99"/>
    <w:semiHidden/>
    <w:unhideWhenUsed/>
    <w:rsid w:val="00256562"/>
    <w:rPr>
      <w:sz w:val="16"/>
      <w:szCs w:val="16"/>
    </w:rPr>
  </w:style>
  <w:style w:type="paragraph" w:styleId="CommentText">
    <w:name w:val="annotation text"/>
    <w:basedOn w:val="Normal"/>
    <w:link w:val="CommentTextChar"/>
    <w:uiPriority w:val="99"/>
    <w:semiHidden/>
    <w:unhideWhenUsed/>
    <w:rsid w:val="00256562"/>
    <w:pPr>
      <w:spacing w:line="240" w:lineRule="auto"/>
    </w:pPr>
    <w:rPr>
      <w:sz w:val="20"/>
      <w:szCs w:val="20"/>
    </w:rPr>
  </w:style>
  <w:style w:type="character" w:customStyle="1" w:styleId="CommentTextChar">
    <w:name w:val="Comment Text Char"/>
    <w:basedOn w:val="DefaultParagraphFont"/>
    <w:link w:val="CommentText"/>
    <w:uiPriority w:val="99"/>
    <w:semiHidden/>
    <w:rsid w:val="00256562"/>
    <w:rPr>
      <w:sz w:val="20"/>
      <w:szCs w:val="20"/>
    </w:rPr>
  </w:style>
  <w:style w:type="paragraph" w:styleId="CommentSubject">
    <w:name w:val="annotation subject"/>
    <w:basedOn w:val="CommentText"/>
    <w:next w:val="CommentText"/>
    <w:link w:val="CommentSubjectChar"/>
    <w:uiPriority w:val="99"/>
    <w:semiHidden/>
    <w:unhideWhenUsed/>
    <w:rsid w:val="00256562"/>
    <w:rPr>
      <w:b/>
      <w:bCs/>
    </w:rPr>
  </w:style>
  <w:style w:type="character" w:customStyle="1" w:styleId="CommentSubjectChar">
    <w:name w:val="Comment Subject Char"/>
    <w:basedOn w:val="CommentTextChar"/>
    <w:link w:val="CommentSubject"/>
    <w:uiPriority w:val="99"/>
    <w:semiHidden/>
    <w:rsid w:val="00256562"/>
    <w:rPr>
      <w:b/>
      <w:bCs/>
      <w:sz w:val="20"/>
      <w:szCs w:val="20"/>
    </w:rPr>
  </w:style>
  <w:style w:type="character" w:customStyle="1" w:styleId="Heading3Char">
    <w:name w:val="Heading 3 Char"/>
    <w:basedOn w:val="DefaultParagraphFont"/>
    <w:link w:val="Heading3"/>
    <w:uiPriority w:val="9"/>
    <w:rsid w:val="00081FD3"/>
    <w:rPr>
      <w:rFonts w:ascii="Arial" w:eastAsiaTheme="majorEastAsia" w:hAnsi="Arial" w:cs="Arial"/>
      <w:color w:val="1F3763" w:themeColor="accent1" w:themeShade="7F"/>
      <w:sz w:val="20"/>
      <w:szCs w:val="20"/>
    </w:rPr>
  </w:style>
  <w:style w:type="paragraph" w:styleId="TOCHeading">
    <w:name w:val="TOC Heading"/>
    <w:basedOn w:val="Heading1"/>
    <w:next w:val="Normal"/>
    <w:uiPriority w:val="39"/>
    <w:unhideWhenUsed/>
    <w:qFormat/>
    <w:rsid w:val="00A40335"/>
    <w:pPr>
      <w:outlineLvl w:val="9"/>
    </w:pPr>
    <w:rPr>
      <w:lang w:val="en-US"/>
    </w:rPr>
  </w:style>
  <w:style w:type="paragraph" w:styleId="TOC1">
    <w:name w:val="toc 1"/>
    <w:basedOn w:val="Normal"/>
    <w:next w:val="Normal"/>
    <w:autoRedefine/>
    <w:uiPriority w:val="39"/>
    <w:unhideWhenUsed/>
    <w:rsid w:val="00A40335"/>
    <w:pPr>
      <w:spacing w:after="100"/>
    </w:pPr>
  </w:style>
  <w:style w:type="paragraph" w:styleId="TOC2">
    <w:name w:val="toc 2"/>
    <w:basedOn w:val="Normal"/>
    <w:next w:val="Normal"/>
    <w:autoRedefine/>
    <w:uiPriority w:val="39"/>
    <w:unhideWhenUsed/>
    <w:rsid w:val="00A40335"/>
    <w:pPr>
      <w:spacing w:after="100"/>
      <w:ind w:left="220"/>
    </w:pPr>
  </w:style>
  <w:style w:type="paragraph" w:styleId="TOC3">
    <w:name w:val="toc 3"/>
    <w:basedOn w:val="Normal"/>
    <w:next w:val="Normal"/>
    <w:autoRedefine/>
    <w:uiPriority w:val="39"/>
    <w:unhideWhenUsed/>
    <w:rsid w:val="00A403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20041">
      <w:bodyDiv w:val="1"/>
      <w:marLeft w:val="0"/>
      <w:marRight w:val="0"/>
      <w:marTop w:val="0"/>
      <w:marBottom w:val="0"/>
      <w:divBdr>
        <w:top w:val="none" w:sz="0" w:space="0" w:color="auto"/>
        <w:left w:val="none" w:sz="0" w:space="0" w:color="auto"/>
        <w:bottom w:val="none" w:sz="0" w:space="0" w:color="auto"/>
        <w:right w:val="none" w:sz="0" w:space="0" w:color="auto"/>
      </w:divBdr>
    </w:div>
    <w:div w:id="596641810">
      <w:bodyDiv w:val="1"/>
      <w:marLeft w:val="0"/>
      <w:marRight w:val="0"/>
      <w:marTop w:val="0"/>
      <w:marBottom w:val="0"/>
      <w:divBdr>
        <w:top w:val="none" w:sz="0" w:space="0" w:color="auto"/>
        <w:left w:val="none" w:sz="0" w:space="0" w:color="auto"/>
        <w:bottom w:val="none" w:sz="0" w:space="0" w:color="auto"/>
        <w:right w:val="none" w:sz="0" w:space="0" w:color="auto"/>
      </w:divBdr>
      <w:divsChild>
        <w:div w:id="1721707262">
          <w:marLeft w:val="0"/>
          <w:marRight w:val="0"/>
          <w:marTop w:val="0"/>
          <w:marBottom w:val="0"/>
          <w:divBdr>
            <w:top w:val="none" w:sz="0" w:space="0" w:color="auto"/>
            <w:left w:val="none" w:sz="0" w:space="0" w:color="auto"/>
            <w:bottom w:val="none" w:sz="0" w:space="0" w:color="auto"/>
            <w:right w:val="none" w:sz="0" w:space="0" w:color="auto"/>
          </w:divBdr>
        </w:div>
        <w:div w:id="2012751904">
          <w:marLeft w:val="0"/>
          <w:marRight w:val="0"/>
          <w:marTop w:val="0"/>
          <w:marBottom w:val="0"/>
          <w:divBdr>
            <w:top w:val="none" w:sz="0" w:space="0" w:color="auto"/>
            <w:left w:val="none" w:sz="0" w:space="0" w:color="auto"/>
            <w:bottom w:val="none" w:sz="0" w:space="0" w:color="auto"/>
            <w:right w:val="none" w:sz="0" w:space="0" w:color="auto"/>
          </w:divBdr>
        </w:div>
        <w:div w:id="2002804890">
          <w:marLeft w:val="0"/>
          <w:marRight w:val="0"/>
          <w:marTop w:val="0"/>
          <w:marBottom w:val="0"/>
          <w:divBdr>
            <w:top w:val="none" w:sz="0" w:space="0" w:color="auto"/>
            <w:left w:val="none" w:sz="0" w:space="0" w:color="auto"/>
            <w:bottom w:val="none" w:sz="0" w:space="0" w:color="auto"/>
            <w:right w:val="none" w:sz="0" w:space="0" w:color="auto"/>
          </w:divBdr>
        </w:div>
      </w:divsChild>
    </w:div>
    <w:div w:id="630401135">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sChild>
        <w:div w:id="583883526">
          <w:marLeft w:val="446"/>
          <w:marRight w:val="0"/>
          <w:marTop w:val="0"/>
          <w:marBottom w:val="200"/>
          <w:divBdr>
            <w:top w:val="none" w:sz="0" w:space="0" w:color="auto"/>
            <w:left w:val="none" w:sz="0" w:space="0" w:color="auto"/>
            <w:bottom w:val="none" w:sz="0" w:space="0" w:color="auto"/>
            <w:right w:val="none" w:sz="0" w:space="0" w:color="auto"/>
          </w:divBdr>
        </w:div>
        <w:div w:id="923025573">
          <w:marLeft w:val="446"/>
          <w:marRight w:val="0"/>
          <w:marTop w:val="0"/>
          <w:marBottom w:val="200"/>
          <w:divBdr>
            <w:top w:val="none" w:sz="0" w:space="0" w:color="auto"/>
            <w:left w:val="none" w:sz="0" w:space="0" w:color="auto"/>
            <w:bottom w:val="none" w:sz="0" w:space="0" w:color="auto"/>
            <w:right w:val="none" w:sz="0" w:space="0" w:color="auto"/>
          </w:divBdr>
        </w:div>
        <w:div w:id="1764835964">
          <w:marLeft w:val="446"/>
          <w:marRight w:val="0"/>
          <w:marTop w:val="0"/>
          <w:marBottom w:val="200"/>
          <w:divBdr>
            <w:top w:val="none" w:sz="0" w:space="0" w:color="auto"/>
            <w:left w:val="none" w:sz="0" w:space="0" w:color="auto"/>
            <w:bottom w:val="none" w:sz="0" w:space="0" w:color="auto"/>
            <w:right w:val="none" w:sz="0" w:space="0" w:color="auto"/>
          </w:divBdr>
        </w:div>
      </w:divsChild>
    </w:div>
    <w:div w:id="759371089">
      <w:bodyDiv w:val="1"/>
      <w:marLeft w:val="0"/>
      <w:marRight w:val="0"/>
      <w:marTop w:val="0"/>
      <w:marBottom w:val="0"/>
      <w:divBdr>
        <w:top w:val="none" w:sz="0" w:space="0" w:color="auto"/>
        <w:left w:val="none" w:sz="0" w:space="0" w:color="auto"/>
        <w:bottom w:val="none" w:sz="0" w:space="0" w:color="auto"/>
        <w:right w:val="none" w:sz="0" w:space="0" w:color="auto"/>
      </w:divBdr>
    </w:div>
    <w:div w:id="1150099657">
      <w:bodyDiv w:val="1"/>
      <w:marLeft w:val="0"/>
      <w:marRight w:val="0"/>
      <w:marTop w:val="0"/>
      <w:marBottom w:val="0"/>
      <w:divBdr>
        <w:top w:val="none" w:sz="0" w:space="0" w:color="auto"/>
        <w:left w:val="none" w:sz="0" w:space="0" w:color="auto"/>
        <w:bottom w:val="none" w:sz="0" w:space="0" w:color="auto"/>
        <w:right w:val="none" w:sz="0" w:space="0" w:color="auto"/>
      </w:divBdr>
    </w:div>
    <w:div w:id="1170410387">
      <w:bodyDiv w:val="1"/>
      <w:marLeft w:val="0"/>
      <w:marRight w:val="0"/>
      <w:marTop w:val="0"/>
      <w:marBottom w:val="0"/>
      <w:divBdr>
        <w:top w:val="none" w:sz="0" w:space="0" w:color="auto"/>
        <w:left w:val="none" w:sz="0" w:space="0" w:color="auto"/>
        <w:bottom w:val="none" w:sz="0" w:space="0" w:color="auto"/>
        <w:right w:val="none" w:sz="0" w:space="0" w:color="auto"/>
      </w:divBdr>
    </w:div>
    <w:div w:id="1234193481">
      <w:bodyDiv w:val="1"/>
      <w:marLeft w:val="0"/>
      <w:marRight w:val="0"/>
      <w:marTop w:val="0"/>
      <w:marBottom w:val="0"/>
      <w:divBdr>
        <w:top w:val="none" w:sz="0" w:space="0" w:color="auto"/>
        <w:left w:val="none" w:sz="0" w:space="0" w:color="auto"/>
        <w:bottom w:val="none" w:sz="0" w:space="0" w:color="auto"/>
        <w:right w:val="none" w:sz="0" w:space="0" w:color="auto"/>
      </w:divBdr>
    </w:div>
    <w:div w:id="1299607416">
      <w:bodyDiv w:val="1"/>
      <w:marLeft w:val="0"/>
      <w:marRight w:val="0"/>
      <w:marTop w:val="0"/>
      <w:marBottom w:val="0"/>
      <w:divBdr>
        <w:top w:val="none" w:sz="0" w:space="0" w:color="auto"/>
        <w:left w:val="none" w:sz="0" w:space="0" w:color="auto"/>
        <w:bottom w:val="none" w:sz="0" w:space="0" w:color="auto"/>
        <w:right w:val="none" w:sz="0" w:space="0" w:color="auto"/>
      </w:divBdr>
    </w:div>
    <w:div w:id="1871531101">
      <w:bodyDiv w:val="1"/>
      <w:marLeft w:val="0"/>
      <w:marRight w:val="0"/>
      <w:marTop w:val="0"/>
      <w:marBottom w:val="0"/>
      <w:divBdr>
        <w:top w:val="none" w:sz="0" w:space="0" w:color="auto"/>
        <w:left w:val="none" w:sz="0" w:space="0" w:color="auto"/>
        <w:bottom w:val="none" w:sz="0" w:space="0" w:color="auto"/>
        <w:right w:val="none" w:sz="0" w:space="0" w:color="auto"/>
      </w:divBdr>
      <w:divsChild>
        <w:div w:id="734667828">
          <w:marLeft w:val="0"/>
          <w:marRight w:val="0"/>
          <w:marTop w:val="0"/>
          <w:marBottom w:val="0"/>
          <w:divBdr>
            <w:top w:val="none" w:sz="0" w:space="0" w:color="auto"/>
            <w:left w:val="none" w:sz="0" w:space="0" w:color="auto"/>
            <w:bottom w:val="none" w:sz="0" w:space="0" w:color="auto"/>
            <w:right w:val="none" w:sz="0" w:space="0" w:color="auto"/>
          </w:divBdr>
        </w:div>
        <w:div w:id="1511176">
          <w:marLeft w:val="0"/>
          <w:marRight w:val="0"/>
          <w:marTop w:val="0"/>
          <w:marBottom w:val="0"/>
          <w:divBdr>
            <w:top w:val="none" w:sz="0" w:space="0" w:color="auto"/>
            <w:left w:val="none" w:sz="0" w:space="0" w:color="auto"/>
            <w:bottom w:val="none" w:sz="0" w:space="0" w:color="auto"/>
            <w:right w:val="none" w:sz="0" w:space="0" w:color="auto"/>
          </w:divBdr>
        </w:div>
        <w:div w:id="1056393415">
          <w:marLeft w:val="0"/>
          <w:marRight w:val="0"/>
          <w:marTop w:val="0"/>
          <w:marBottom w:val="0"/>
          <w:divBdr>
            <w:top w:val="none" w:sz="0" w:space="0" w:color="auto"/>
            <w:left w:val="none" w:sz="0" w:space="0" w:color="auto"/>
            <w:bottom w:val="none" w:sz="0" w:space="0" w:color="auto"/>
            <w:right w:val="none" w:sz="0" w:space="0" w:color="auto"/>
          </w:divBdr>
        </w:div>
        <w:div w:id="473520742">
          <w:marLeft w:val="0"/>
          <w:marRight w:val="0"/>
          <w:marTop w:val="0"/>
          <w:marBottom w:val="0"/>
          <w:divBdr>
            <w:top w:val="none" w:sz="0" w:space="0" w:color="auto"/>
            <w:left w:val="none" w:sz="0" w:space="0" w:color="auto"/>
            <w:bottom w:val="none" w:sz="0" w:space="0" w:color="auto"/>
            <w:right w:val="none" w:sz="0" w:space="0" w:color="auto"/>
          </w:divBdr>
        </w:div>
        <w:div w:id="207648669">
          <w:marLeft w:val="0"/>
          <w:marRight w:val="0"/>
          <w:marTop w:val="0"/>
          <w:marBottom w:val="0"/>
          <w:divBdr>
            <w:top w:val="none" w:sz="0" w:space="0" w:color="auto"/>
            <w:left w:val="none" w:sz="0" w:space="0" w:color="auto"/>
            <w:bottom w:val="none" w:sz="0" w:space="0" w:color="auto"/>
            <w:right w:val="none" w:sz="0" w:space="0" w:color="auto"/>
          </w:divBdr>
        </w:div>
      </w:divsChild>
    </w:div>
    <w:div w:id="1945306158">
      <w:bodyDiv w:val="1"/>
      <w:marLeft w:val="0"/>
      <w:marRight w:val="0"/>
      <w:marTop w:val="0"/>
      <w:marBottom w:val="0"/>
      <w:divBdr>
        <w:top w:val="none" w:sz="0" w:space="0" w:color="auto"/>
        <w:left w:val="none" w:sz="0" w:space="0" w:color="auto"/>
        <w:bottom w:val="none" w:sz="0" w:space="0" w:color="auto"/>
        <w:right w:val="none" w:sz="0" w:space="0" w:color="auto"/>
      </w:divBdr>
    </w:div>
    <w:div w:id="20713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ney@unimelb.edu.au" TargetMode="External"/><Relationship Id="rId4" Type="http://schemas.openxmlformats.org/officeDocument/2006/relationships/settings" Target="settings.xml"/><Relationship Id="rId9" Type="http://schemas.openxmlformats.org/officeDocument/2006/relationships/hyperlink" Target="mailto:md-i@unimelb.edu.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edh.org.au/projects/improving-disability-employment-servic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specialisterne.com.au/" TargetMode="External"/><Relationship Id="rId5" Type="http://schemas.openxmlformats.org/officeDocument/2006/relationships/hyperlink" Target="http://www.ilo.org/global/topics/decent-work/lang--en/index.htm" TargetMode="External"/><Relationship Id="rId4" Type="http://schemas.openxmlformats.org/officeDocument/2006/relationships/hyperlink" Target="https://www.jobjumpstart.gov.au/article/how-find-hidden-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D78E-2672-924B-9503-A3501E00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Olney</dc:creator>
  <cp:keywords/>
  <dc:description/>
  <cp:lastModifiedBy>Susan Olney</cp:lastModifiedBy>
  <cp:revision>4</cp:revision>
  <dcterms:created xsi:type="dcterms:W3CDTF">2021-05-14T06:54:00Z</dcterms:created>
  <dcterms:modified xsi:type="dcterms:W3CDTF">2021-05-14T07:31:00Z</dcterms:modified>
</cp:coreProperties>
</file>